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BFDC" w14:textId="77777777" w:rsidR="00BA5FAD" w:rsidRDefault="00BA5FAD" w:rsidP="00BA5FAD">
      <w:pPr>
        <w:spacing w:before="100" w:beforeAutospacing="1" w:after="100" w:afterAutospacing="1"/>
        <w:rPr>
          <w:rFonts w:ascii="Arial" w:hAnsi="Arial" w:cs="Arial"/>
          <w:b/>
          <w:sz w:val="22"/>
          <w:szCs w:val="22"/>
        </w:rPr>
      </w:pPr>
    </w:p>
    <w:p w14:paraId="09A24DDF" w14:textId="2368324F" w:rsidR="00DD7AA2" w:rsidRPr="00DD7AA2" w:rsidRDefault="00DD7AA2" w:rsidP="00BA5FAD">
      <w:pPr>
        <w:spacing w:before="100" w:beforeAutospacing="1" w:after="100" w:afterAutospacing="1"/>
        <w:jc w:val="center"/>
        <w:rPr>
          <w:rFonts w:ascii="Garamond" w:hAnsi="Garamond"/>
        </w:rPr>
      </w:pPr>
      <w:r w:rsidRPr="00DD7AA2">
        <w:rPr>
          <w:rFonts w:ascii="Garamond" w:hAnsi="Garamond"/>
          <w:b/>
          <w:bCs/>
        </w:rPr>
        <w:t>EL ALCALDE LOCAL DE CIUDAD BOLÍVAR</w:t>
      </w:r>
    </w:p>
    <w:p w14:paraId="32921038" w14:textId="77777777" w:rsidR="00DD7AA2" w:rsidRPr="00DD7AA2" w:rsidRDefault="00DD7AA2" w:rsidP="00DD7AA2">
      <w:pPr>
        <w:spacing w:before="100" w:beforeAutospacing="1" w:after="100" w:afterAutospacing="1"/>
        <w:jc w:val="both"/>
        <w:rPr>
          <w:rFonts w:ascii="Garamond" w:hAnsi="Garamond"/>
        </w:rPr>
      </w:pPr>
      <w:r w:rsidRPr="00DD7AA2">
        <w:rPr>
          <w:rFonts w:ascii="Garamond" w:hAnsi="Garamond"/>
        </w:rPr>
        <w:t>En ejercicio de las facultades constitucionales y legales, en especial las conferidas por los artículos 209 de la Constitución Política; 14, 18 y 50 de la Ley 80 de 1993; el artículo 17 de la Ley 1150 de 2007; el artículo 86 de la Ley 1474 de 2011; la Ley 1437 de 2011; el Decreto Ley 1421 de 1993; el Acuerdo Distrital 740 de 2019; el Decreto Distrital 411 de 2016 (o el decreto vigente de delegación de competencias), las cláusulas del Contrato de Obra Pública No. COP-859-2023 y demás normas concordantes,</w:t>
      </w:r>
    </w:p>
    <w:p w14:paraId="72FFEC1A" w14:textId="2BEDF2D1" w:rsidR="00DD7AA2" w:rsidRPr="00DD7AA2" w:rsidRDefault="00DD7AA2" w:rsidP="008340DD">
      <w:pPr>
        <w:spacing w:before="100" w:beforeAutospacing="1" w:after="100" w:afterAutospacing="1"/>
        <w:jc w:val="center"/>
        <w:rPr>
          <w:rFonts w:ascii="Garamond" w:hAnsi="Garamond"/>
        </w:rPr>
      </w:pPr>
      <w:r w:rsidRPr="00DD7AA2">
        <w:rPr>
          <w:rFonts w:ascii="Garamond" w:hAnsi="Garamond"/>
          <w:b/>
          <w:bCs/>
        </w:rPr>
        <w:t>CONSIDERANDO</w:t>
      </w:r>
    </w:p>
    <w:p w14:paraId="0869D740" w14:textId="0BC5AAFD" w:rsidR="003B12B2" w:rsidRPr="00DD7AA2" w:rsidRDefault="003B12B2" w:rsidP="00DD7AA2">
      <w:pPr>
        <w:pStyle w:val="Ttulo2"/>
        <w:numPr>
          <w:ilvl w:val="0"/>
          <w:numId w:val="31"/>
        </w:numPr>
        <w:jc w:val="both"/>
        <w:rPr>
          <w:rFonts w:ascii="Garamond" w:hAnsi="Garamond"/>
          <w:sz w:val="24"/>
          <w:szCs w:val="24"/>
        </w:rPr>
      </w:pPr>
      <w:r w:rsidRPr="00DD7AA2">
        <w:rPr>
          <w:rFonts w:ascii="Garamond" w:hAnsi="Garamond"/>
          <w:sz w:val="24"/>
          <w:szCs w:val="24"/>
        </w:rPr>
        <w:t>COMPETENCIA</w:t>
      </w:r>
    </w:p>
    <w:p w14:paraId="6B992524" w14:textId="77777777" w:rsidR="003B12B2" w:rsidRPr="003E6A25" w:rsidRDefault="003B12B2" w:rsidP="00C46622">
      <w:pPr>
        <w:pStyle w:val="NormalWeb"/>
        <w:jc w:val="both"/>
        <w:rPr>
          <w:rFonts w:ascii="Garamond" w:hAnsi="Garamond"/>
        </w:rPr>
      </w:pPr>
      <w:r w:rsidRPr="003E6A25">
        <w:rPr>
          <w:rFonts w:ascii="Garamond" w:hAnsi="Garamond"/>
        </w:rPr>
        <w:t>La potestad sancionatoria de la Administración en materia contractual constituye una prerrogativa excepcional encaminada a garantizar el cumplimiento oportuno y adecuado de los fines estatales, la correcta ejecución del objeto contratado y la protección del patrimonio público. En virtud de dicha facultad, las entidades estatales pueden verificar el cumplimiento de las obligaciones contractuales y, cuando se acrediten incumplimientos imputables al contratista, adoptar las decisiones correspondientes, siempre con observancia del debido proceso, el derecho de defensa, la contradicción y los principios que rigen la función administrativa.</w:t>
      </w:r>
    </w:p>
    <w:p w14:paraId="6D32CF4F" w14:textId="77777777" w:rsidR="003B12B2" w:rsidRPr="003E6A25" w:rsidRDefault="003B12B2" w:rsidP="00C46622">
      <w:pPr>
        <w:pStyle w:val="NormalWeb"/>
        <w:jc w:val="both"/>
        <w:rPr>
          <w:rFonts w:ascii="Garamond" w:hAnsi="Garamond"/>
        </w:rPr>
      </w:pPr>
      <w:r w:rsidRPr="003E6A25">
        <w:rPr>
          <w:rFonts w:ascii="Garamond" w:hAnsi="Garamond"/>
        </w:rPr>
        <w:t>En desarrollo de lo previsto en el artículo 86 de la Ley 1474 de 2011, la Administración adelantó el procedimiento administrativo garantizando al contratista y a la compañía aseguradora el conocimiento de los hechos materia de investigación, el acceso al expediente, la oportunidad para presentar descargos, solicitar y controvertir pruebas, intervenir en las audiencias y ejercer plenamente su derecho de defensa, de conformidad con los principios de legalidad, imparcialidad, publicidad, contradicción y debido proceso.</w:t>
      </w:r>
    </w:p>
    <w:p w14:paraId="140B8332" w14:textId="77777777" w:rsidR="00DD7AA2" w:rsidRDefault="003B12B2" w:rsidP="00C46622">
      <w:pPr>
        <w:pStyle w:val="NormalWeb"/>
        <w:jc w:val="both"/>
        <w:rPr>
          <w:rFonts w:ascii="Garamond" w:hAnsi="Garamond"/>
        </w:rPr>
      </w:pPr>
      <w:r w:rsidRPr="003E6A25">
        <w:rPr>
          <w:rFonts w:ascii="Garamond" w:hAnsi="Garamond"/>
        </w:rPr>
        <w:t xml:space="preserve">En consecuencia, una vez agotadas las etapas previstas en la ley, recaudado y valorado integralmente el material probatorio y garantizadas las prerrogativas procesales de los sujetos vinculados al procedimiento, corresponde a este Despacho adoptar la decisión administrativa </w:t>
      </w:r>
    </w:p>
    <w:p w14:paraId="221F9715" w14:textId="77777777" w:rsidR="00BA5FAD" w:rsidRDefault="00BA5FAD" w:rsidP="00C46622">
      <w:pPr>
        <w:pStyle w:val="NormalWeb"/>
        <w:jc w:val="both"/>
        <w:rPr>
          <w:rFonts w:ascii="Garamond" w:hAnsi="Garamond"/>
        </w:rPr>
      </w:pPr>
    </w:p>
    <w:p w14:paraId="51480601" w14:textId="6E1476D4" w:rsidR="003B12B2" w:rsidRPr="003E6A25" w:rsidRDefault="003B12B2" w:rsidP="00C46622">
      <w:pPr>
        <w:pStyle w:val="NormalWeb"/>
        <w:jc w:val="both"/>
        <w:rPr>
          <w:rFonts w:ascii="Garamond" w:hAnsi="Garamond"/>
        </w:rPr>
      </w:pPr>
      <w:r w:rsidRPr="003E6A25">
        <w:rPr>
          <w:rFonts w:ascii="Garamond" w:hAnsi="Garamond"/>
        </w:rPr>
        <w:t>que en derecho corresponda respecto del presunto incumplimiento del Contrato de Obra Pública No. COP-859-2023.</w:t>
      </w:r>
    </w:p>
    <w:p w14:paraId="76A2922A" w14:textId="6432D17B" w:rsidR="003B12B2" w:rsidRPr="003E6A25" w:rsidRDefault="003B12B2" w:rsidP="00DD7AA2">
      <w:pPr>
        <w:pStyle w:val="Ttulo1"/>
        <w:numPr>
          <w:ilvl w:val="0"/>
          <w:numId w:val="31"/>
        </w:numPr>
        <w:jc w:val="both"/>
        <w:rPr>
          <w:rFonts w:ascii="Garamond" w:hAnsi="Garamond"/>
          <w:b/>
          <w:bCs/>
          <w:sz w:val="24"/>
          <w:szCs w:val="24"/>
        </w:rPr>
      </w:pPr>
      <w:r w:rsidRPr="003E6A25">
        <w:rPr>
          <w:rFonts w:ascii="Garamond" w:hAnsi="Garamond"/>
          <w:b/>
          <w:bCs/>
          <w:color w:val="000000" w:themeColor="text1"/>
          <w:sz w:val="24"/>
          <w:szCs w:val="24"/>
        </w:rPr>
        <w:t>ANTECEDENTES CONTRACTUALES</w:t>
      </w:r>
    </w:p>
    <w:p w14:paraId="5877FB82" w14:textId="77777777" w:rsidR="00C957E5" w:rsidRPr="003E6A25" w:rsidRDefault="00C957E5" w:rsidP="00C957E5">
      <w:pPr>
        <w:ind w:left="360"/>
        <w:rPr>
          <w:rFonts w:ascii="Garamond" w:hAnsi="Garamond"/>
          <w:lang w:eastAsia="zh-CN" w:bidi="hi-IN"/>
        </w:rPr>
      </w:pPr>
    </w:p>
    <w:p w14:paraId="55CE5C47"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2.1. Proceso de selección y celebración del contrato</w:t>
      </w:r>
    </w:p>
    <w:p w14:paraId="68B6F5EB" w14:textId="3E38EF5A" w:rsidR="003B12B2" w:rsidRPr="007379E1" w:rsidRDefault="003B12B2" w:rsidP="00C46622">
      <w:pPr>
        <w:pStyle w:val="NormalWeb"/>
        <w:jc w:val="both"/>
        <w:rPr>
          <w:rFonts w:ascii="Garamond" w:hAnsi="Garamond"/>
        </w:rPr>
      </w:pPr>
      <w:r w:rsidRPr="007379E1">
        <w:rPr>
          <w:rFonts w:ascii="Garamond" w:hAnsi="Garamond"/>
        </w:rPr>
        <w:t xml:space="preserve">Como resultado del proceso de selección adelantado por el Fondo de Desarrollo Local de Ciudad Bolívar, orientado a la ejecución de obras de mejoramiento de vivienda en la localidad, y una vez agotadas las etapas previstas en el Estatuto General de Contratación de la Administración Pública, el día veintinueve (29) de diciembre de dos mil veintitrés (2023) se suscribió el Contrato de Obra Pública No. COP-859-2023 entre el Fondo de Desarrollo Local de Ciudad Bolívar y la </w:t>
      </w:r>
      <w:r w:rsidRPr="007379E1">
        <w:rPr>
          <w:rStyle w:val="Textoennegrita"/>
          <w:rFonts w:ascii="Garamond" w:hAnsi="Garamond"/>
        </w:rPr>
        <w:t>UNIÓN TEMPORAL BOLÍVAR</w:t>
      </w:r>
      <w:r w:rsidRPr="007379E1">
        <w:rPr>
          <w:rFonts w:ascii="Garamond" w:hAnsi="Garamond"/>
        </w:rPr>
        <w:t>, identificada con NIT 901.788.725-1</w:t>
      </w:r>
      <w:r w:rsidR="007379E1" w:rsidRPr="00C17428">
        <w:rPr>
          <w:rFonts w:ascii="Garamond" w:hAnsi="Garamond"/>
        </w:rPr>
        <w:t xml:space="preserve">, </w:t>
      </w:r>
      <w:r w:rsidR="007379E1" w:rsidRPr="00C17428">
        <w:rPr>
          <w:rFonts w:ascii="Garamond" w:eastAsia="Times New Roman" w:hAnsi="Garamond"/>
          <w:lang w:eastAsia="es-CO"/>
        </w:rPr>
        <w:t xml:space="preserve">e integrada por las firmas solidariamente responsables: </w:t>
      </w:r>
      <w:r w:rsidR="007379E1" w:rsidRPr="00C17428">
        <w:rPr>
          <w:rFonts w:ascii="Garamond" w:eastAsia="Times New Roman" w:hAnsi="Garamond"/>
          <w:b/>
          <w:bCs/>
          <w:lang w:eastAsia="es-CO"/>
        </w:rPr>
        <w:t>MASEB INGENIERÍA S.A.S.</w:t>
      </w:r>
      <w:r w:rsidR="007379E1" w:rsidRPr="00C17428">
        <w:rPr>
          <w:rFonts w:ascii="Garamond" w:eastAsia="Times New Roman" w:hAnsi="Garamond"/>
          <w:lang w:eastAsia="es-CO"/>
        </w:rPr>
        <w:t xml:space="preserve"> (NIT 901.579.224–7) con el cincuenta por ciento (50%) de participación; </w:t>
      </w:r>
      <w:r w:rsidR="007379E1" w:rsidRPr="00C17428">
        <w:rPr>
          <w:rFonts w:ascii="Garamond" w:eastAsia="Times New Roman" w:hAnsi="Garamond"/>
          <w:b/>
          <w:bCs/>
          <w:lang w:eastAsia="es-CO"/>
        </w:rPr>
        <w:t>ELECTROLED DE COLOMBIA S.A.S.</w:t>
      </w:r>
      <w:r w:rsidR="007379E1" w:rsidRPr="00C17428">
        <w:rPr>
          <w:rFonts w:ascii="Garamond" w:eastAsia="Times New Roman" w:hAnsi="Garamond"/>
          <w:lang w:eastAsia="es-CO"/>
        </w:rPr>
        <w:t xml:space="preserve"> (NIT 900.560.672–6) con el cuarenta por ciento (40%) de participación; y </w:t>
      </w:r>
      <w:r w:rsidR="007379E1" w:rsidRPr="00C17428">
        <w:rPr>
          <w:rFonts w:ascii="Garamond" w:eastAsia="Times New Roman" w:hAnsi="Garamond"/>
          <w:b/>
          <w:bCs/>
          <w:lang w:eastAsia="es-CO"/>
        </w:rPr>
        <w:t>SMARTECHS SOLUTIONS S.A.S.</w:t>
      </w:r>
      <w:r w:rsidR="007379E1" w:rsidRPr="00C17428">
        <w:rPr>
          <w:rFonts w:ascii="Garamond" w:eastAsia="Times New Roman" w:hAnsi="Garamond"/>
          <w:lang w:eastAsia="es-CO"/>
        </w:rPr>
        <w:t xml:space="preserve"> (NIT 901.122.787–1) con el diez por ciento (10%) de participación</w:t>
      </w:r>
      <w:r w:rsidR="00C17428">
        <w:rPr>
          <w:rFonts w:ascii="Garamond" w:eastAsia="Times New Roman" w:hAnsi="Garamond"/>
          <w:lang w:eastAsia="es-CO"/>
        </w:rPr>
        <w:t>.</w:t>
      </w:r>
    </w:p>
    <w:p w14:paraId="4E052850" w14:textId="77777777" w:rsidR="003B12B2" w:rsidRPr="003E6A25" w:rsidRDefault="003B12B2" w:rsidP="00C46622">
      <w:pPr>
        <w:pStyle w:val="NormalWeb"/>
        <w:jc w:val="both"/>
        <w:rPr>
          <w:rFonts w:ascii="Garamond" w:hAnsi="Garamond"/>
        </w:rPr>
      </w:pPr>
      <w:r w:rsidRPr="003E6A25">
        <w:rPr>
          <w:rFonts w:ascii="Garamond" w:hAnsi="Garamond"/>
        </w:rPr>
        <w:t>La celebración del contrato obedeció a la necesidad de satisfacer un interés público relacionado con el mejoramiento de las condiciones de habitabilidad de viviendas ubicadas en la localidad de Ciudad Bolívar, propósito que se enmarca dentro de las funciones asignadas al Fondo de Desarrollo Local y de los principios que orientan la contratación estatal, particularmente los de planeación, economía, responsabilidad, eficacia y prevalencia del interés general.</w:t>
      </w:r>
    </w:p>
    <w:p w14:paraId="0DAFBD05" w14:textId="62F4063D" w:rsidR="003B12B2" w:rsidRPr="003E6A25" w:rsidRDefault="003B12B2" w:rsidP="00C957E5">
      <w:pPr>
        <w:pStyle w:val="NormalWeb"/>
        <w:jc w:val="both"/>
        <w:rPr>
          <w:rFonts w:ascii="Garamond" w:hAnsi="Garamond"/>
        </w:rPr>
      </w:pPr>
      <w:r w:rsidRPr="003E6A25">
        <w:rPr>
          <w:rFonts w:ascii="Garamond" w:hAnsi="Garamond"/>
        </w:rPr>
        <w:t>Desde su celebración, el contrato quedó sometido a las disposiciones contenidas en la Ley 80 de 1993, la Ley 1150 de 2007, sus normas reglamentarias y las estipulaciones pactadas por las partes, las cuales constituyen ley para los contratantes y resultan obligatorias durante toda la ejecución contractual.</w:t>
      </w:r>
    </w:p>
    <w:p w14:paraId="29F33279"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lastRenderedPageBreak/>
        <w:t>2.2. Objeto contractual</w:t>
      </w:r>
    </w:p>
    <w:p w14:paraId="6BF9D676" w14:textId="77777777" w:rsidR="00C17428" w:rsidRDefault="003B12B2" w:rsidP="00C957E5">
      <w:pPr>
        <w:pStyle w:val="NormalWeb"/>
        <w:jc w:val="both"/>
        <w:rPr>
          <w:rFonts w:ascii="Garamond" w:hAnsi="Garamond"/>
        </w:rPr>
      </w:pPr>
      <w:r w:rsidRPr="003E6A25">
        <w:rPr>
          <w:rFonts w:ascii="Garamond" w:hAnsi="Garamond"/>
        </w:rPr>
        <w:t xml:space="preserve">De conformidad con la Cláusula Primera del Contrato de Obra Pública No. COP-859-2023, el contratista se obligó a ejecutar las obras de mejoramiento de vivienda previstas por el Fondo de Desarrollo Local de Ciudad Bolívar, de acuerdo con las especificaciones técnicas, estudios </w:t>
      </w:r>
    </w:p>
    <w:p w14:paraId="79102B9C" w14:textId="48A7E49A" w:rsidR="00BA5FAD" w:rsidRDefault="003B12B2" w:rsidP="00C957E5">
      <w:pPr>
        <w:pStyle w:val="NormalWeb"/>
        <w:jc w:val="both"/>
        <w:rPr>
          <w:rFonts w:ascii="Garamond" w:hAnsi="Garamond"/>
        </w:rPr>
      </w:pPr>
      <w:r w:rsidRPr="003E6A25">
        <w:rPr>
          <w:rFonts w:ascii="Garamond" w:hAnsi="Garamond"/>
        </w:rPr>
        <w:t>previos, pliego de condiciones, propuesta presentada, anexos técnicos y demás documentos que integran el contrato.</w:t>
      </w:r>
    </w:p>
    <w:p w14:paraId="019060AC" w14:textId="06E4229A" w:rsidR="00C957E5" w:rsidRPr="003E6A25" w:rsidRDefault="003B12B2" w:rsidP="00C957E5">
      <w:pPr>
        <w:pStyle w:val="NormalWeb"/>
        <w:jc w:val="both"/>
        <w:rPr>
          <w:rFonts w:ascii="Garamond" w:hAnsi="Garamond"/>
        </w:rPr>
      </w:pPr>
      <w:r w:rsidRPr="003E6A25">
        <w:rPr>
          <w:rFonts w:ascii="Garamond" w:hAnsi="Garamond"/>
        </w:rPr>
        <w:t xml:space="preserve">En consecuencia, el contratista asumió la obligación de ejecutar integralmente el objeto contratado dentro del plazo convenido, garantizando el cumplimiento de las especificaciones técnicas, los cronogramas de ejecución, los estándares de calidad y las obligaciones </w:t>
      </w:r>
    </w:p>
    <w:p w14:paraId="3C151D29" w14:textId="1AD95A56" w:rsidR="003B12B2" w:rsidRPr="003E6A25" w:rsidRDefault="003B12B2" w:rsidP="00C957E5">
      <w:pPr>
        <w:pStyle w:val="NormalWeb"/>
        <w:jc w:val="both"/>
        <w:rPr>
          <w:rFonts w:ascii="Garamond" w:hAnsi="Garamond"/>
        </w:rPr>
      </w:pPr>
      <w:r w:rsidRPr="003E6A25">
        <w:rPr>
          <w:rFonts w:ascii="Garamond" w:hAnsi="Garamond"/>
        </w:rPr>
        <w:t>administrativas, financieras, ambientales y de seguridad previstas en los documentos contractuales.</w:t>
      </w:r>
    </w:p>
    <w:p w14:paraId="110C7A06"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2.3. Valor del contrato</w:t>
      </w:r>
    </w:p>
    <w:p w14:paraId="26B200A3" w14:textId="294318FA" w:rsidR="003B12B2" w:rsidRPr="003E6A25" w:rsidRDefault="003B12B2" w:rsidP="00C46622">
      <w:pPr>
        <w:pStyle w:val="NormalWeb"/>
        <w:jc w:val="both"/>
        <w:rPr>
          <w:rFonts w:ascii="Garamond" w:hAnsi="Garamond"/>
        </w:rPr>
      </w:pPr>
      <w:r w:rsidRPr="003E6A25">
        <w:rPr>
          <w:rFonts w:ascii="Garamond" w:hAnsi="Garamond"/>
        </w:rPr>
        <w:t>El valor del Contrato de Obra Pública No. COP-859-2023 fue el establecido en el documento contractual suscrito por las partes, suma que sería cancelada conforme a la forma de pago pactada en el contrato y previa acreditación del cumplimiento de las obligaciones contractuales, aprobación de la interventoría y certificación de la supervisión</w:t>
      </w:r>
      <w:r w:rsidR="00C17428">
        <w:rPr>
          <w:rFonts w:ascii="Garamond" w:hAnsi="Garamond"/>
        </w:rPr>
        <w:t>,</w:t>
      </w:r>
      <w:r w:rsidR="0098140A" w:rsidRPr="0098140A">
        <w:rPr>
          <w:rFonts w:ascii="Segoe UI" w:eastAsia="Times New Roman" w:hAnsi="Segoe UI" w:cs="Segoe UI"/>
          <w:kern w:val="0"/>
          <w:sz w:val="18"/>
          <w:szCs w:val="18"/>
          <w:lang w:eastAsia="es-CO"/>
        </w:rPr>
        <w:t xml:space="preserve"> </w:t>
      </w:r>
      <w:r w:rsidR="0098140A" w:rsidRPr="0098140A">
        <w:rPr>
          <w:rFonts w:ascii="Garamond" w:hAnsi="Garamond"/>
        </w:rPr>
        <w:t xml:space="preserve"> que asciende a la suma de DOS MIL QUINIENTOS VEINTIUN MILLONES CIENTO CUARENTA Y CUATRO MIL QUINIENTOS TREINTA Y CUATRO PESOS M/CTE ($2.521.144.534) incluido AIU, de la vigencia fiscal 2023.</w:t>
      </w:r>
    </w:p>
    <w:p w14:paraId="446A443B" w14:textId="77777777" w:rsidR="00C17428" w:rsidRDefault="003B12B2" w:rsidP="00C17428">
      <w:pPr>
        <w:pStyle w:val="NormalWeb"/>
        <w:jc w:val="both"/>
        <w:rPr>
          <w:rFonts w:ascii="Garamond" w:hAnsi="Garamond"/>
        </w:rPr>
      </w:pPr>
      <w:r w:rsidRPr="003E6A25">
        <w:rPr>
          <w:rFonts w:ascii="Garamond" w:hAnsi="Garamond"/>
        </w:rPr>
        <w:t>El contrato contempló igualmente la entrega de un anticipo, así como pagos parciales contra avance de obra efectivamente ejecutado y recibido a satisfacción, manteniendo la correspondiente retención de garantía conforme a las estipulaciones contractuales.</w:t>
      </w:r>
    </w:p>
    <w:p w14:paraId="4EB1CEA8" w14:textId="3DB81E3E" w:rsidR="003B12B2" w:rsidRPr="00C17428" w:rsidRDefault="003B12B2" w:rsidP="00C17428">
      <w:pPr>
        <w:pStyle w:val="NormalWeb"/>
        <w:numPr>
          <w:ilvl w:val="1"/>
          <w:numId w:val="31"/>
        </w:numPr>
        <w:jc w:val="both"/>
        <w:rPr>
          <w:rFonts w:ascii="Garamond" w:hAnsi="Garamond"/>
          <w:b/>
          <w:bCs/>
        </w:rPr>
      </w:pPr>
      <w:r w:rsidRPr="00C17428">
        <w:rPr>
          <w:rFonts w:ascii="Garamond" w:hAnsi="Garamond"/>
          <w:b/>
          <w:bCs/>
        </w:rPr>
        <w:t>Plazo de ejecución</w:t>
      </w:r>
    </w:p>
    <w:p w14:paraId="125ABAAC" w14:textId="77777777" w:rsidR="00C17428" w:rsidRDefault="00C17428" w:rsidP="00C46622">
      <w:pPr>
        <w:pStyle w:val="NormalWeb"/>
        <w:jc w:val="both"/>
        <w:rPr>
          <w:rFonts w:ascii="Garamond" w:hAnsi="Garamond"/>
        </w:rPr>
      </w:pPr>
    </w:p>
    <w:p w14:paraId="423FD54C" w14:textId="77777777" w:rsidR="00C17428" w:rsidRDefault="00C17428" w:rsidP="00C46622">
      <w:pPr>
        <w:pStyle w:val="NormalWeb"/>
        <w:jc w:val="both"/>
        <w:rPr>
          <w:rFonts w:ascii="Garamond" w:hAnsi="Garamond"/>
        </w:rPr>
      </w:pPr>
    </w:p>
    <w:p w14:paraId="1651DA2D" w14:textId="71EA3D55" w:rsidR="003B12B2" w:rsidRPr="003E6A25" w:rsidRDefault="003B12B2" w:rsidP="00C46622">
      <w:pPr>
        <w:pStyle w:val="NormalWeb"/>
        <w:jc w:val="both"/>
        <w:rPr>
          <w:rFonts w:ascii="Garamond" w:hAnsi="Garamond"/>
        </w:rPr>
      </w:pPr>
      <w:r w:rsidRPr="003E6A25">
        <w:rPr>
          <w:rFonts w:ascii="Garamond" w:hAnsi="Garamond"/>
        </w:rPr>
        <w:t xml:space="preserve">Las partes acordaron un plazo de ejecución de </w:t>
      </w:r>
      <w:r w:rsidRPr="003E6A25">
        <w:rPr>
          <w:rStyle w:val="Textoennegrita"/>
          <w:rFonts w:ascii="Garamond" w:hAnsi="Garamond"/>
        </w:rPr>
        <w:t>seis (6) meses y quince (15) días</w:t>
      </w:r>
      <w:r w:rsidRPr="003E6A25">
        <w:rPr>
          <w:rFonts w:ascii="Garamond" w:hAnsi="Garamond"/>
        </w:rPr>
        <w:t>, contado a partir de la suscripción del acta de inicio.</w:t>
      </w:r>
    </w:p>
    <w:p w14:paraId="5D2BAD56" w14:textId="77777777" w:rsidR="003B12B2" w:rsidRPr="003E6A25" w:rsidRDefault="003B12B2" w:rsidP="00C46622">
      <w:pPr>
        <w:pStyle w:val="NormalWeb"/>
        <w:jc w:val="both"/>
        <w:rPr>
          <w:rFonts w:ascii="Garamond" w:hAnsi="Garamond"/>
        </w:rPr>
      </w:pPr>
      <w:r w:rsidRPr="003E6A25">
        <w:rPr>
          <w:rFonts w:ascii="Garamond" w:hAnsi="Garamond"/>
        </w:rPr>
        <w:t>El plazo contractual constituía un elemento esencial del negocio jurídico, en la medida en que las obras contratadas debían ejecutarse dentro del término convenido, atendiendo la programación aprobada por la interventoría y la supervisión, sin perjuicio de las modificaciones formalmente autorizadas por la Entidad durante la ejecución contractual.</w:t>
      </w:r>
    </w:p>
    <w:p w14:paraId="044EFAF2" w14:textId="2A2E9E1B" w:rsidR="00252F0C" w:rsidRDefault="003B12B2" w:rsidP="00BA5FAD">
      <w:pPr>
        <w:pStyle w:val="NormalWeb"/>
        <w:jc w:val="both"/>
        <w:rPr>
          <w:rFonts w:ascii="Garamond" w:hAnsi="Garamond"/>
        </w:rPr>
      </w:pPr>
      <w:r w:rsidRPr="003E6A25">
        <w:rPr>
          <w:rFonts w:ascii="Garamond" w:hAnsi="Garamond"/>
        </w:rPr>
        <w:t>En consecuencia, el contratista asumió la obligación de organizar los recursos humanos, técnicos, financieros y logísticos necesarios para garantizar el cumplimiento oportuno del objeto contractual dentro del término pactado.</w:t>
      </w:r>
    </w:p>
    <w:p w14:paraId="4DC91079" w14:textId="6AB38700" w:rsidR="003B12B2" w:rsidRPr="003E6A25" w:rsidRDefault="003B12B2" w:rsidP="00C46622">
      <w:pPr>
        <w:pStyle w:val="Ttulo2"/>
        <w:jc w:val="both"/>
        <w:rPr>
          <w:rFonts w:ascii="Garamond" w:hAnsi="Garamond"/>
          <w:sz w:val="24"/>
          <w:szCs w:val="24"/>
        </w:rPr>
      </w:pPr>
      <w:r w:rsidRPr="003E6A25">
        <w:rPr>
          <w:rFonts w:ascii="Garamond" w:hAnsi="Garamond"/>
          <w:sz w:val="24"/>
          <w:szCs w:val="24"/>
        </w:rPr>
        <w:t>2.5. Interventoría y supervisión</w:t>
      </w:r>
    </w:p>
    <w:p w14:paraId="3589CAD3" w14:textId="48DBEC94" w:rsidR="003B12B2" w:rsidRPr="003E6A25" w:rsidRDefault="003B12B2" w:rsidP="00C46622">
      <w:pPr>
        <w:pStyle w:val="NormalWeb"/>
        <w:jc w:val="both"/>
        <w:rPr>
          <w:rFonts w:ascii="Garamond" w:hAnsi="Garamond"/>
        </w:rPr>
      </w:pPr>
      <w:r w:rsidRPr="003E6A25">
        <w:rPr>
          <w:rFonts w:ascii="Garamond" w:hAnsi="Garamond"/>
        </w:rPr>
        <w:t>Con el propósito de garantizar el adecuado seguimiento técnico, administrativo, financiero, jurídico y contable del contrato, el Fondo de Desarrollo Local designó la correspondiente supervisión contractual y contrató la interventoría especializada, quienes ejercieron de manera permanente las funciones de vigilancia y control de la ejecución contractual.</w:t>
      </w:r>
    </w:p>
    <w:p w14:paraId="0236C477" w14:textId="77777777" w:rsidR="003B12B2" w:rsidRPr="003E6A25" w:rsidRDefault="003B12B2" w:rsidP="00C46622">
      <w:pPr>
        <w:pStyle w:val="NormalWeb"/>
        <w:jc w:val="both"/>
        <w:rPr>
          <w:rFonts w:ascii="Garamond" w:hAnsi="Garamond"/>
        </w:rPr>
      </w:pPr>
      <w:r w:rsidRPr="003E6A25">
        <w:rPr>
          <w:rFonts w:ascii="Garamond" w:hAnsi="Garamond"/>
        </w:rPr>
        <w:t>En desarrollo de dichas funciones, la supervisión y la interventoría realizaron visitas técnicas, verificaciones en campo, comités de obra, requerimientos escritos, seguimiento al cronograma de ejecución, revisión de informes, análisis del avance físico y financiero del contrato y demás actividades encaminadas a verificar el cumplimiento de las obligaciones asumidas por el contratista.</w:t>
      </w:r>
    </w:p>
    <w:p w14:paraId="675983F3" w14:textId="5F32F148" w:rsidR="003B12B2" w:rsidRPr="003E6A25" w:rsidRDefault="003B12B2" w:rsidP="00C957E5">
      <w:pPr>
        <w:pStyle w:val="NormalWeb"/>
        <w:jc w:val="both"/>
        <w:rPr>
          <w:rFonts w:ascii="Garamond" w:hAnsi="Garamond"/>
        </w:rPr>
      </w:pPr>
      <w:r w:rsidRPr="003E6A25">
        <w:rPr>
          <w:rFonts w:ascii="Garamond" w:hAnsi="Garamond"/>
        </w:rPr>
        <w:t>Los informes, conceptos técnicos, actas, comunicaciones, registros fotográficos y demás documentos producidos durante la ejecución contractual constituyen parte integral del acervo probatorio valorado dentro del presente procedimiento administrativo.</w:t>
      </w:r>
    </w:p>
    <w:p w14:paraId="1BEEECBA" w14:textId="77777777" w:rsidR="00C17428" w:rsidRDefault="00C17428" w:rsidP="00C46622">
      <w:pPr>
        <w:pStyle w:val="Ttulo2"/>
        <w:jc w:val="both"/>
        <w:rPr>
          <w:rFonts w:ascii="Garamond" w:hAnsi="Garamond"/>
          <w:sz w:val="24"/>
          <w:szCs w:val="24"/>
        </w:rPr>
      </w:pPr>
    </w:p>
    <w:p w14:paraId="7027EB70" w14:textId="25E6A259" w:rsidR="003B12B2" w:rsidRPr="003E6A25" w:rsidRDefault="003B12B2" w:rsidP="00C46622">
      <w:pPr>
        <w:pStyle w:val="Ttulo2"/>
        <w:jc w:val="both"/>
        <w:rPr>
          <w:rFonts w:ascii="Garamond" w:hAnsi="Garamond"/>
          <w:sz w:val="24"/>
          <w:szCs w:val="24"/>
        </w:rPr>
      </w:pPr>
      <w:r w:rsidRPr="003E6A25">
        <w:rPr>
          <w:rFonts w:ascii="Garamond" w:hAnsi="Garamond"/>
          <w:sz w:val="24"/>
          <w:szCs w:val="24"/>
        </w:rPr>
        <w:t>2.6. Garantías contractuales</w:t>
      </w:r>
    </w:p>
    <w:p w14:paraId="3FA0CA31" w14:textId="507F236F" w:rsidR="00BA5FAD" w:rsidRDefault="003B12B2" w:rsidP="00C46622">
      <w:pPr>
        <w:pStyle w:val="NormalWeb"/>
        <w:jc w:val="both"/>
        <w:rPr>
          <w:rFonts w:ascii="Garamond" w:hAnsi="Garamond"/>
        </w:rPr>
      </w:pPr>
      <w:r w:rsidRPr="003E6A25">
        <w:rPr>
          <w:rFonts w:ascii="Garamond" w:hAnsi="Garamond"/>
        </w:rPr>
        <w:t>En cumplimiento de las obligaciones previstas en el contrato y en la normativa aplicable, el contratista constituyó la garantía única de cumplimiento, mediante la póliza</w:t>
      </w:r>
      <w:r w:rsidR="0098140A">
        <w:rPr>
          <w:rFonts w:ascii="Garamond" w:hAnsi="Garamond"/>
        </w:rPr>
        <w:t xml:space="preserve"> </w:t>
      </w:r>
      <w:r w:rsidR="0098140A" w:rsidRPr="0098140A">
        <w:rPr>
          <w:rFonts w:ascii="Garamond" w:hAnsi="Garamond"/>
        </w:rPr>
        <w:t>No. CBO-100021357 (Certificado No. 130072626)</w:t>
      </w:r>
      <w:r w:rsidRPr="003E6A25">
        <w:rPr>
          <w:rFonts w:ascii="Garamond" w:hAnsi="Garamond"/>
        </w:rPr>
        <w:t xml:space="preserve"> expedida por la </w:t>
      </w:r>
      <w:r w:rsidRPr="003E6A25">
        <w:rPr>
          <w:rStyle w:val="Textoennegrita"/>
          <w:rFonts w:ascii="Garamond" w:hAnsi="Garamond"/>
        </w:rPr>
        <w:t>Compañía Mundial de Seguros S.A.</w:t>
      </w:r>
      <w:r w:rsidRPr="003E6A25">
        <w:rPr>
          <w:rFonts w:ascii="Garamond" w:hAnsi="Garamond"/>
        </w:rPr>
        <w:t>, la cual amparó, entre otros riesgos, el cumplimiento general del contrato, el buen manejo y correcta inversión del anticipo, la calidad de la obra, la estabilidad de la obra y los demás riesgos exigidos por la Entidad.</w:t>
      </w:r>
    </w:p>
    <w:p w14:paraId="3D730868" w14:textId="688489A1" w:rsidR="003B12B2" w:rsidRPr="003E6A25" w:rsidRDefault="003B12B2" w:rsidP="00C46622">
      <w:pPr>
        <w:pStyle w:val="NormalWeb"/>
        <w:jc w:val="both"/>
        <w:rPr>
          <w:rFonts w:ascii="Garamond" w:hAnsi="Garamond"/>
        </w:rPr>
      </w:pPr>
      <w:r w:rsidRPr="003E6A25">
        <w:rPr>
          <w:rFonts w:ascii="Garamond" w:hAnsi="Garamond"/>
        </w:rPr>
        <w:t>La compañía aseguradora fue debidamente vinculada al presente procedimiento administrativo sancionatorio, garantizándose su participación durante todas las etapas del trámite, en los términos previstos en el artículo 86 de la Ley 1474 de 2011.</w:t>
      </w:r>
    </w:p>
    <w:p w14:paraId="3CE7F383" w14:textId="16799870" w:rsidR="003B12B2" w:rsidRPr="003E6A25" w:rsidRDefault="003B12B2"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III. DESARROLLO DE LA EJECUCIÓN CONTRACTUAL</w:t>
      </w:r>
    </w:p>
    <w:p w14:paraId="2975B3F8"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3.1. Inicio de la ejecución contractual</w:t>
      </w:r>
    </w:p>
    <w:p w14:paraId="23860098" w14:textId="77777777" w:rsidR="003B12B2" w:rsidRPr="003E6A25" w:rsidRDefault="003B12B2" w:rsidP="00C46622">
      <w:pPr>
        <w:pStyle w:val="NormalWeb"/>
        <w:jc w:val="both"/>
        <w:rPr>
          <w:rFonts w:ascii="Garamond" w:hAnsi="Garamond"/>
        </w:rPr>
      </w:pPr>
      <w:r w:rsidRPr="003E6A25">
        <w:rPr>
          <w:rFonts w:ascii="Garamond" w:hAnsi="Garamond"/>
        </w:rPr>
        <w:t>Una vez cumplidos los requisitos de perfeccionamiento y ejecución previstos en el Estatuto General de Contratación de la Administración Pública y acreditados los requisitos legales y contractuales para el inicio de las actividades, las partes suscribieron el Acta de Inicio del Contrato de Obra Pública No. COP-859-2023, dando apertura formal a la etapa de ejecución del negocio jurídico.</w:t>
      </w:r>
    </w:p>
    <w:p w14:paraId="5763082A" w14:textId="77777777" w:rsidR="000578B2" w:rsidRPr="003E6A25" w:rsidRDefault="003B12B2" w:rsidP="00C46622">
      <w:pPr>
        <w:pStyle w:val="NormalWeb"/>
        <w:jc w:val="both"/>
        <w:rPr>
          <w:rFonts w:ascii="Garamond" w:hAnsi="Garamond"/>
        </w:rPr>
      </w:pPr>
      <w:r w:rsidRPr="003E6A25">
        <w:rPr>
          <w:rFonts w:ascii="Garamond" w:hAnsi="Garamond"/>
        </w:rPr>
        <w:t>A partir de dicho momento, el contratista asumió la obligación de ejecutar el objeto contractual conforme a las especificaciones técnicas, los estudios y diseños, el cronograma de ejecución aprobado, el programa de inversiones, los análisis de precios unitarios, las obligaciones específicas previstas en el contrato y las instrucciones impartidas por la interventoría y la supervisión.</w:t>
      </w:r>
    </w:p>
    <w:p w14:paraId="67C17663" w14:textId="77777777" w:rsidR="00C17428" w:rsidRDefault="003B12B2" w:rsidP="000578B2">
      <w:pPr>
        <w:pStyle w:val="NormalWeb"/>
        <w:jc w:val="both"/>
        <w:rPr>
          <w:rFonts w:ascii="Garamond" w:hAnsi="Garamond"/>
        </w:rPr>
      </w:pPr>
      <w:r w:rsidRPr="003E6A25">
        <w:rPr>
          <w:rFonts w:ascii="Garamond" w:hAnsi="Garamond"/>
        </w:rPr>
        <w:t xml:space="preserve">En desarrollo del principio de colaboración armónica que rige la contratación estatal, el Fondo de Desarrollo Local de Ciudad Bolívar dispuso los mecanismos administrativos y técnicos necesarios para garantizar la adecuada ejecución del contrato, designando la supervisión </w:t>
      </w:r>
    </w:p>
    <w:p w14:paraId="6A28B09A" w14:textId="77777777" w:rsidR="00C17428" w:rsidRDefault="00C17428" w:rsidP="000578B2">
      <w:pPr>
        <w:pStyle w:val="NormalWeb"/>
        <w:jc w:val="both"/>
        <w:rPr>
          <w:rFonts w:ascii="Garamond" w:hAnsi="Garamond"/>
        </w:rPr>
      </w:pPr>
    </w:p>
    <w:p w14:paraId="302FEE4A" w14:textId="03E7AEC7" w:rsidR="003B12B2" w:rsidRPr="003E6A25" w:rsidRDefault="003B12B2" w:rsidP="000578B2">
      <w:pPr>
        <w:pStyle w:val="NormalWeb"/>
        <w:jc w:val="both"/>
        <w:rPr>
          <w:rFonts w:ascii="Garamond" w:hAnsi="Garamond"/>
        </w:rPr>
      </w:pPr>
      <w:r w:rsidRPr="003E6A25">
        <w:rPr>
          <w:rFonts w:ascii="Garamond" w:hAnsi="Garamond"/>
        </w:rPr>
        <w:t>contractual y contratando la interventoría especializada, quienes ejercieron de manera permanente las funciones de seguimiento, vigilancia y control previstas en la Ley 80 de 1993.</w:t>
      </w:r>
    </w:p>
    <w:p w14:paraId="39D54BE6"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3.2. Seguimiento permanente a la ejecución del contrato</w:t>
      </w:r>
    </w:p>
    <w:p w14:paraId="46CD872D" w14:textId="387F3291" w:rsidR="003B12B2" w:rsidRPr="003E6A25" w:rsidRDefault="003B12B2" w:rsidP="00C46622">
      <w:pPr>
        <w:pStyle w:val="NormalWeb"/>
        <w:jc w:val="both"/>
        <w:rPr>
          <w:rFonts w:ascii="Garamond" w:hAnsi="Garamond"/>
        </w:rPr>
      </w:pPr>
      <w:r w:rsidRPr="003E6A25">
        <w:rPr>
          <w:rFonts w:ascii="Garamond" w:hAnsi="Garamond"/>
        </w:rPr>
        <w:t>Durante toda la ejecución contractual, la interventoría y la supervisión realizaron un seguimiento técnico, administrativo, financiero y operativo permanente, mediante visitas de campo, reuniones de seguimiento, comités técnicos, revisión documental, informes periódicos, registros fotográficos, comunicaciones oficiales y requerimientos escritos dirigidos al contratista.</w:t>
      </w:r>
    </w:p>
    <w:p w14:paraId="55C7B445" w14:textId="365EE01B" w:rsidR="003B12B2" w:rsidRPr="003E6A25" w:rsidRDefault="003B12B2" w:rsidP="00C46622">
      <w:pPr>
        <w:pStyle w:val="NormalWeb"/>
        <w:jc w:val="both"/>
        <w:rPr>
          <w:rFonts w:ascii="Garamond" w:hAnsi="Garamond"/>
        </w:rPr>
      </w:pPr>
      <w:r w:rsidRPr="003E6A25">
        <w:rPr>
          <w:rFonts w:ascii="Garamond" w:hAnsi="Garamond"/>
        </w:rPr>
        <w:t xml:space="preserve">El propósito de dichas actuaciones fue verificar el cumplimiento oportuno de las obligaciones contractuales, identificar posibles desviaciones frente a la programación inicialmente aprobada y </w:t>
      </w:r>
      <w:r w:rsidR="00577F0E">
        <w:rPr>
          <w:rFonts w:ascii="Garamond" w:hAnsi="Garamond"/>
        </w:rPr>
        <w:t>a</w:t>
      </w:r>
      <w:r w:rsidRPr="003E6A25">
        <w:rPr>
          <w:rFonts w:ascii="Garamond" w:hAnsi="Garamond"/>
        </w:rPr>
        <w:t>doptar las medidas preventivas necesarias para garantizar el cumplimiento del objeto contratado dentro del plazo establecido.</w:t>
      </w:r>
    </w:p>
    <w:p w14:paraId="7A946CA1" w14:textId="1131515F" w:rsidR="003B12B2" w:rsidRPr="003E6A25" w:rsidRDefault="003B12B2" w:rsidP="000578B2">
      <w:pPr>
        <w:pStyle w:val="NormalWeb"/>
        <w:jc w:val="both"/>
        <w:rPr>
          <w:rFonts w:ascii="Garamond" w:hAnsi="Garamond"/>
        </w:rPr>
      </w:pPr>
      <w:r w:rsidRPr="003E6A25">
        <w:rPr>
          <w:rFonts w:ascii="Garamond" w:hAnsi="Garamond"/>
        </w:rPr>
        <w:t>Las actividades de seguimiento desarrolladas permitieron a la Administración contar con información técnica suficiente, objetiva y verificable sobre el estado real de ejecución del contrato, constituyendo dichos documentos parte integral del acervo probatorio valorado en el presente procedimiento administrativo.</w:t>
      </w:r>
    </w:p>
    <w:p w14:paraId="2B1859C5"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3.3. Incumplimientos advertidos durante la ejecución</w:t>
      </w:r>
    </w:p>
    <w:p w14:paraId="0BD29D83" w14:textId="2498A74E" w:rsidR="000578B2" w:rsidRPr="003E6A25" w:rsidRDefault="003B12B2" w:rsidP="00C46622">
      <w:pPr>
        <w:pStyle w:val="NormalWeb"/>
        <w:jc w:val="both"/>
        <w:rPr>
          <w:rFonts w:ascii="Garamond" w:hAnsi="Garamond"/>
        </w:rPr>
      </w:pPr>
      <w:r w:rsidRPr="003E6A25">
        <w:rPr>
          <w:rFonts w:ascii="Garamond" w:hAnsi="Garamond"/>
        </w:rPr>
        <w:t xml:space="preserve">Del análisis integral de los informes emitidos por la interventoría y la supervisión, así como de las actas de comité, informes de avance, visitas técnicas y demás documentos que reposan en el </w:t>
      </w:r>
      <w:r w:rsidR="00577F0E">
        <w:rPr>
          <w:rFonts w:ascii="Garamond" w:hAnsi="Garamond"/>
        </w:rPr>
        <w:t>e</w:t>
      </w:r>
      <w:r w:rsidRPr="003E6A25">
        <w:rPr>
          <w:rFonts w:ascii="Garamond" w:hAnsi="Garamond"/>
        </w:rPr>
        <w:t>xpediente administrativo, se evidenció que la ejecución contractual comenzó a presentar desviaciones significativas frente a la programación inicialmente aprobada.</w:t>
      </w:r>
    </w:p>
    <w:p w14:paraId="046FC9D8" w14:textId="77777777" w:rsidR="00C17428" w:rsidRDefault="003B12B2" w:rsidP="00C46622">
      <w:pPr>
        <w:pStyle w:val="NormalWeb"/>
        <w:jc w:val="both"/>
        <w:rPr>
          <w:rFonts w:ascii="Garamond" w:hAnsi="Garamond"/>
        </w:rPr>
      </w:pPr>
      <w:r w:rsidRPr="003E6A25">
        <w:rPr>
          <w:rFonts w:ascii="Garamond" w:hAnsi="Garamond"/>
        </w:rPr>
        <w:t xml:space="preserve">Las inconsistencias identificadas no correspondieron a situaciones aisladas o esporádicas, sino que evidenciaron un incumplimiento progresivo de las obligaciones asumidas por el contratista, particularmente en lo relacionado con la ejecución oportuna de las obras, el cumplimiento del </w:t>
      </w:r>
    </w:p>
    <w:p w14:paraId="26A4838D" w14:textId="77777777" w:rsidR="00C17428" w:rsidRDefault="00C17428" w:rsidP="00C46622">
      <w:pPr>
        <w:pStyle w:val="NormalWeb"/>
        <w:jc w:val="both"/>
        <w:rPr>
          <w:rFonts w:ascii="Garamond" w:hAnsi="Garamond"/>
        </w:rPr>
      </w:pPr>
    </w:p>
    <w:p w14:paraId="78B8DF1C" w14:textId="4F9F203C" w:rsidR="003B12B2" w:rsidRPr="003E6A25" w:rsidRDefault="003B12B2" w:rsidP="00C46622">
      <w:pPr>
        <w:pStyle w:val="NormalWeb"/>
        <w:jc w:val="both"/>
        <w:rPr>
          <w:rFonts w:ascii="Garamond" w:hAnsi="Garamond"/>
        </w:rPr>
      </w:pPr>
      <w:r w:rsidRPr="003E6A25">
        <w:rPr>
          <w:rFonts w:ascii="Garamond" w:hAnsi="Garamond"/>
        </w:rPr>
        <w:t>cronograma contractual, la programación de actividades y la adopción de medidas eficaces para superar los atrasos advertidos por la interventoría.</w:t>
      </w:r>
    </w:p>
    <w:p w14:paraId="67541B26" w14:textId="77777777" w:rsidR="003B12B2" w:rsidRPr="003E6A25" w:rsidRDefault="003B12B2" w:rsidP="00C46622">
      <w:pPr>
        <w:pStyle w:val="NormalWeb"/>
        <w:jc w:val="both"/>
        <w:rPr>
          <w:rFonts w:ascii="Garamond" w:hAnsi="Garamond"/>
        </w:rPr>
      </w:pPr>
      <w:r w:rsidRPr="003E6A25">
        <w:rPr>
          <w:rFonts w:ascii="Garamond" w:hAnsi="Garamond"/>
        </w:rPr>
        <w:t>En múltiples oportunidades la interventoría y la supervisión formularon observaciones y requerimientos dirigidos a corregir las deficiencias detectadas durante la ejecución, instando al contratista a adoptar las acciones técnicas, administrativas y operativas necesarias para garantizar el cumplimiento del objeto contractual dentro del plazo pactado.</w:t>
      </w:r>
    </w:p>
    <w:p w14:paraId="36F89B91" w14:textId="77777777" w:rsidR="004E5186" w:rsidRDefault="003B12B2" w:rsidP="004E5186">
      <w:pPr>
        <w:pStyle w:val="NormalWeb"/>
        <w:jc w:val="both"/>
        <w:rPr>
          <w:rFonts w:ascii="Garamond" w:hAnsi="Garamond"/>
        </w:rPr>
      </w:pPr>
      <w:r w:rsidRPr="003E6A25">
        <w:rPr>
          <w:rFonts w:ascii="Garamond" w:hAnsi="Garamond"/>
        </w:rPr>
        <w:t>No obstante, pese a las oportunidades brindadas por la Entidad y a los requerimientos efectuados durante la ejecución del contrato, las medidas implementadas por el contratista no resultaron suficientes para superar las deficiencias advertidas ni permitieron recuperar el atraso que progresivamente se evidenciaba en la ejecución de las obras.</w:t>
      </w:r>
    </w:p>
    <w:p w14:paraId="0E960967" w14:textId="0C7671CE" w:rsidR="003B12B2" w:rsidRPr="004E5186" w:rsidRDefault="003B12B2" w:rsidP="004E5186">
      <w:pPr>
        <w:pStyle w:val="NormalWeb"/>
        <w:jc w:val="both"/>
        <w:rPr>
          <w:rFonts w:ascii="Garamond" w:hAnsi="Garamond"/>
          <w:b/>
          <w:bCs/>
        </w:rPr>
      </w:pPr>
      <w:r w:rsidRPr="004E5186">
        <w:rPr>
          <w:rFonts w:ascii="Garamond" w:hAnsi="Garamond"/>
          <w:b/>
          <w:bCs/>
        </w:rPr>
        <w:t>3.4. Estado real de ejecución del contrato</w:t>
      </w:r>
    </w:p>
    <w:p w14:paraId="2CF35F21" w14:textId="77777777" w:rsidR="003B12B2" w:rsidRPr="003E6A25" w:rsidRDefault="003B12B2" w:rsidP="00C46622">
      <w:pPr>
        <w:pStyle w:val="NormalWeb"/>
        <w:jc w:val="both"/>
        <w:rPr>
          <w:rFonts w:ascii="Garamond" w:hAnsi="Garamond"/>
        </w:rPr>
      </w:pPr>
      <w:r w:rsidRPr="003E6A25">
        <w:rPr>
          <w:rFonts w:ascii="Garamond" w:hAnsi="Garamond"/>
        </w:rPr>
        <w:t>Como resultado del seguimiento efectuado durante la ejecución contractual y de la información técnica consolidada por la interventoría y la supervisión, la Administración estableció que al vencimiento del plazo contractual el contratista no había ejecutado la totalidad del objeto contratado.</w:t>
      </w:r>
    </w:p>
    <w:p w14:paraId="0F953CFF" w14:textId="77777777" w:rsidR="003B12B2" w:rsidRPr="003E6A25" w:rsidRDefault="003B12B2" w:rsidP="00C46622">
      <w:pPr>
        <w:pStyle w:val="NormalWeb"/>
        <w:jc w:val="both"/>
        <w:rPr>
          <w:rFonts w:ascii="Garamond" w:hAnsi="Garamond"/>
        </w:rPr>
      </w:pPr>
      <w:r w:rsidRPr="003E6A25">
        <w:rPr>
          <w:rFonts w:ascii="Garamond" w:hAnsi="Garamond"/>
        </w:rPr>
        <w:t>Las verificaciones técnicas practicadas evidenciaron que un número importante de actividades permanecían pendientes de ejecución, otras presentaban avances parciales y algunas no habían sido iniciadas, situación que incidió directamente en el porcentaje final de ejecución del contrato.</w:t>
      </w:r>
    </w:p>
    <w:p w14:paraId="6B51CB77" w14:textId="6AD4E48C" w:rsidR="003B12B2" w:rsidRPr="003E6A25" w:rsidRDefault="003B12B2" w:rsidP="00C46622">
      <w:pPr>
        <w:pStyle w:val="NormalWeb"/>
        <w:jc w:val="both"/>
        <w:rPr>
          <w:rFonts w:ascii="Garamond" w:hAnsi="Garamond"/>
        </w:rPr>
      </w:pPr>
      <w:r w:rsidRPr="003E6A25">
        <w:rPr>
          <w:rFonts w:ascii="Garamond" w:hAnsi="Garamond"/>
        </w:rPr>
        <w:t xml:space="preserve">Del material probatorio obrante en el expediente administrativo se acreditó que el porcentaje de ejecución alcanzado al finalizar el plazo contractual correspondió aproximadamente al </w:t>
      </w:r>
      <w:r w:rsidRPr="003E6A25">
        <w:rPr>
          <w:rStyle w:val="Textoennegrita"/>
          <w:rFonts w:ascii="Garamond" w:hAnsi="Garamond"/>
        </w:rPr>
        <w:t>52,07 %</w:t>
      </w:r>
      <w:r w:rsidRPr="003E6A25">
        <w:rPr>
          <w:rFonts w:ascii="Garamond" w:hAnsi="Garamond"/>
        </w:rPr>
        <w:t xml:space="preserve">, quedando pendiente de ejecución un </w:t>
      </w:r>
      <w:r w:rsidRPr="003E6A25">
        <w:rPr>
          <w:rStyle w:val="Textoennegrita"/>
          <w:rFonts w:ascii="Garamond" w:hAnsi="Garamond"/>
        </w:rPr>
        <w:t>47,93 %</w:t>
      </w:r>
      <w:r w:rsidRPr="003E6A25">
        <w:rPr>
          <w:rFonts w:ascii="Garamond" w:hAnsi="Garamond"/>
        </w:rPr>
        <w:t xml:space="preserve"> del objeto contratado, circunstancia que fue debidamente documentada mediante los informes técnicos, actas de visita, registros fotográficos y demás documentos elaborados durante el seguimiento contractual.</w:t>
      </w:r>
    </w:p>
    <w:p w14:paraId="08A29779" w14:textId="77777777" w:rsidR="00C17428" w:rsidRDefault="003B12B2" w:rsidP="000578B2">
      <w:pPr>
        <w:pStyle w:val="NormalWeb"/>
        <w:jc w:val="both"/>
        <w:rPr>
          <w:rFonts w:ascii="Garamond" w:hAnsi="Garamond"/>
        </w:rPr>
      </w:pPr>
      <w:r w:rsidRPr="003E6A25">
        <w:rPr>
          <w:rFonts w:ascii="Garamond" w:hAnsi="Garamond"/>
        </w:rPr>
        <w:t xml:space="preserve">Dicho porcentaje no constituye una apreciación subjetiva de la Administración, sino la conclusión derivada de la valoración integral de las pruebas técnicas recaudadas durante la </w:t>
      </w:r>
    </w:p>
    <w:p w14:paraId="04825372" w14:textId="77777777" w:rsidR="00C17428" w:rsidRDefault="00C17428" w:rsidP="000578B2">
      <w:pPr>
        <w:pStyle w:val="NormalWeb"/>
        <w:jc w:val="both"/>
        <w:rPr>
          <w:rFonts w:ascii="Garamond" w:hAnsi="Garamond"/>
        </w:rPr>
      </w:pPr>
    </w:p>
    <w:p w14:paraId="5195B18D" w14:textId="77777777" w:rsidR="00C17428" w:rsidRDefault="003B12B2" w:rsidP="00C17428">
      <w:pPr>
        <w:pStyle w:val="NormalWeb"/>
        <w:jc w:val="both"/>
        <w:rPr>
          <w:rFonts w:ascii="Garamond" w:hAnsi="Garamond"/>
        </w:rPr>
      </w:pPr>
      <w:r w:rsidRPr="003E6A25">
        <w:rPr>
          <w:rFonts w:ascii="Garamond" w:hAnsi="Garamond"/>
        </w:rPr>
        <w:t>ejecución del contrato, las cuales fueron puestas en conocimiento del contratista y de la compañía aseguradora durante el procedimiento administrativo adelantado conforme al artículo 86 de la Ley 1474 de 2011.</w:t>
      </w:r>
    </w:p>
    <w:p w14:paraId="66EB9BD3" w14:textId="10A97FBA" w:rsidR="003B12B2" w:rsidRPr="00C17428" w:rsidRDefault="003B12B2" w:rsidP="00C17428">
      <w:pPr>
        <w:pStyle w:val="NormalWeb"/>
        <w:jc w:val="both"/>
        <w:rPr>
          <w:rFonts w:ascii="Garamond" w:hAnsi="Garamond"/>
          <w:b/>
          <w:bCs/>
        </w:rPr>
      </w:pPr>
      <w:r w:rsidRPr="00C17428">
        <w:rPr>
          <w:rFonts w:ascii="Garamond" w:hAnsi="Garamond"/>
          <w:b/>
          <w:bCs/>
        </w:rPr>
        <w:t>3.5. Oportunidades otorgadas al contratista para superar los incumplimientos</w:t>
      </w:r>
    </w:p>
    <w:p w14:paraId="77C5D56D" w14:textId="77777777" w:rsidR="003B12B2" w:rsidRPr="003E6A25" w:rsidRDefault="003B12B2" w:rsidP="00C46622">
      <w:pPr>
        <w:pStyle w:val="NormalWeb"/>
        <w:jc w:val="both"/>
        <w:rPr>
          <w:rFonts w:ascii="Garamond" w:hAnsi="Garamond"/>
        </w:rPr>
      </w:pPr>
      <w:r w:rsidRPr="003E6A25">
        <w:rPr>
          <w:rFonts w:ascii="Garamond" w:hAnsi="Garamond"/>
        </w:rPr>
        <w:t>Previo al inicio del presente procedimiento administrativo sancionatorio, el Fondo de Desarrollo Local de Ciudad Bolívar desplegó diversas actuaciones encaminadas a lograr el cumplimiento voluntario de las obligaciones contractuales por parte del contratista.</w:t>
      </w:r>
    </w:p>
    <w:p w14:paraId="7B99A663" w14:textId="0F5725D1" w:rsidR="003B12B2" w:rsidRPr="003E6A25" w:rsidRDefault="003B12B2" w:rsidP="00C46622">
      <w:pPr>
        <w:pStyle w:val="NormalWeb"/>
        <w:jc w:val="both"/>
        <w:rPr>
          <w:rFonts w:ascii="Garamond" w:hAnsi="Garamond"/>
        </w:rPr>
      </w:pPr>
      <w:r w:rsidRPr="003E6A25">
        <w:rPr>
          <w:rFonts w:ascii="Garamond" w:hAnsi="Garamond"/>
        </w:rPr>
        <w:t>Con tal propósito, la interventoría y la supervisión efectuaron observaciones técnicas, formularon requerimientos escritos, realizaron reuniones de seguimiento, solicitaron la adopción de planes de contingencia y promovieron espacios de coordinación orientados a superar las deficiencias advertidas durante la ejecución del contrato.</w:t>
      </w:r>
    </w:p>
    <w:p w14:paraId="50912477" w14:textId="77777777" w:rsidR="003B12B2" w:rsidRPr="003E6A25" w:rsidRDefault="003B12B2" w:rsidP="00C46622">
      <w:pPr>
        <w:pStyle w:val="NormalWeb"/>
        <w:jc w:val="both"/>
        <w:rPr>
          <w:rFonts w:ascii="Garamond" w:hAnsi="Garamond"/>
        </w:rPr>
      </w:pPr>
      <w:r w:rsidRPr="003E6A25">
        <w:rPr>
          <w:rFonts w:ascii="Garamond" w:hAnsi="Garamond"/>
        </w:rPr>
        <w:t>Estas actuaciones evidencian que la Administración privilegió el cumplimiento del objeto contractual y agotó mecanismos preventivos antes de acudir al ejercicio de su potestad sancionatoria, garantizando al contratista la posibilidad de corregir los incumplimientos detectados.</w:t>
      </w:r>
    </w:p>
    <w:p w14:paraId="742072BB" w14:textId="77777777" w:rsidR="00252F0C" w:rsidRDefault="003B12B2" w:rsidP="00252F0C">
      <w:pPr>
        <w:pStyle w:val="NormalWeb"/>
        <w:jc w:val="both"/>
        <w:rPr>
          <w:rFonts w:ascii="Garamond" w:hAnsi="Garamond"/>
        </w:rPr>
      </w:pPr>
      <w:r w:rsidRPr="003E6A25">
        <w:rPr>
          <w:rFonts w:ascii="Garamond" w:hAnsi="Garamond"/>
        </w:rPr>
        <w:t>Sin embargo, las medidas implementadas por el contratista no permitieron restablecer el ritmo de ejecución inicialmente previsto ni garantizar la terminación integral de las obras dentro del plazo contractual, circunstancia que condujo a la necesidad de evaluar la configuración del incumplimiento contractual mediante el procedimiento previsto en el artículo 86 de la Ley 1474 de 2011.</w:t>
      </w:r>
      <w:bookmarkStart w:id="0" w:name="_Hlk68716920"/>
      <w:bookmarkEnd w:id="0"/>
    </w:p>
    <w:p w14:paraId="564B88F7" w14:textId="6E5CAB31" w:rsidR="003B12B2" w:rsidRPr="00252F0C" w:rsidRDefault="003B12B2" w:rsidP="00252F0C">
      <w:pPr>
        <w:pStyle w:val="NormalWeb"/>
        <w:jc w:val="both"/>
        <w:rPr>
          <w:rFonts w:ascii="Garamond" w:hAnsi="Garamond"/>
        </w:rPr>
      </w:pPr>
      <w:r w:rsidRPr="003E6A25">
        <w:rPr>
          <w:rFonts w:ascii="Garamond" w:hAnsi="Garamond"/>
          <w:b/>
          <w:bCs/>
          <w:color w:val="000000" w:themeColor="text1"/>
        </w:rPr>
        <w:t>IV. ACTUACIÓN ADMINISTRATIVA Y GARANTÍAS DEL DEBIDO PROCESO</w:t>
      </w:r>
    </w:p>
    <w:p w14:paraId="2AD25036"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4.1. Inicio de la actuación administrativa</w:t>
      </w:r>
    </w:p>
    <w:p w14:paraId="223A86DC" w14:textId="77777777" w:rsidR="00C17428" w:rsidRDefault="003B12B2" w:rsidP="00C46622">
      <w:pPr>
        <w:pStyle w:val="NormalWeb"/>
        <w:jc w:val="both"/>
        <w:rPr>
          <w:rFonts w:ascii="Garamond" w:hAnsi="Garamond"/>
        </w:rPr>
      </w:pPr>
      <w:r w:rsidRPr="003E6A25">
        <w:rPr>
          <w:rFonts w:ascii="Garamond" w:hAnsi="Garamond"/>
        </w:rPr>
        <w:t xml:space="preserve">Como consecuencia de los hallazgos advertidos durante la ejecución del Contrato de Obra Pública No. COP-859-2023 y con fundamento en los informes presentados por la supervisión y </w:t>
      </w:r>
    </w:p>
    <w:p w14:paraId="519D283A" w14:textId="77777777" w:rsidR="00C17428" w:rsidRDefault="00C17428" w:rsidP="00C46622">
      <w:pPr>
        <w:pStyle w:val="NormalWeb"/>
        <w:jc w:val="both"/>
        <w:rPr>
          <w:rFonts w:ascii="Garamond" w:hAnsi="Garamond"/>
        </w:rPr>
      </w:pPr>
    </w:p>
    <w:p w14:paraId="1F5A2060" w14:textId="77777777" w:rsidR="00C17428" w:rsidRDefault="003B12B2" w:rsidP="00C46622">
      <w:pPr>
        <w:pStyle w:val="NormalWeb"/>
        <w:jc w:val="both"/>
        <w:rPr>
          <w:rFonts w:ascii="Garamond" w:hAnsi="Garamond"/>
        </w:rPr>
      </w:pPr>
      <w:r w:rsidRPr="003E6A25">
        <w:rPr>
          <w:rFonts w:ascii="Garamond" w:hAnsi="Garamond"/>
        </w:rPr>
        <w:t>la interventoría, el Fondo de Desarrollo Local de Ciudad Bolívar consideró procedente evaluar la eventual configuración de un incumplimiento contractual imputable al contratista.</w:t>
      </w:r>
    </w:p>
    <w:p w14:paraId="1F46B2FC" w14:textId="1606D65B" w:rsidR="003B12B2" w:rsidRPr="003E6A25" w:rsidRDefault="003B12B2" w:rsidP="00C46622">
      <w:pPr>
        <w:pStyle w:val="NormalWeb"/>
        <w:jc w:val="both"/>
        <w:rPr>
          <w:rFonts w:ascii="Garamond" w:hAnsi="Garamond"/>
        </w:rPr>
      </w:pPr>
      <w:r w:rsidRPr="003E6A25">
        <w:rPr>
          <w:rFonts w:ascii="Garamond" w:hAnsi="Garamond"/>
        </w:rPr>
        <w:t xml:space="preserve">Para tal efecto, y de conformidad con lo dispuesto en el artículo 86 de la Ley 1474 de 2011, se dio inicio al procedimiento administrativo sancionatorio con el propósito de establecer, mediante un trámite contradictorio y con plena observancia de las garantías constitucionales y legales, si las conductas evidenciadas durante la ejecución del contrato configuraban un incumplimiento de las obligaciones asumidas por la </w:t>
      </w:r>
      <w:r w:rsidRPr="003E6A25">
        <w:rPr>
          <w:rFonts w:ascii="Garamond" w:hAnsi="Garamond"/>
          <w:b/>
          <w:bCs/>
        </w:rPr>
        <w:t>UNIÓN TEMPORAL BOLÍVAR</w:t>
      </w:r>
      <w:r w:rsidRPr="003E6A25">
        <w:rPr>
          <w:rFonts w:ascii="Garamond" w:hAnsi="Garamond"/>
        </w:rPr>
        <w:t>.</w:t>
      </w:r>
    </w:p>
    <w:p w14:paraId="08744F4B" w14:textId="60B1DAB6" w:rsidR="003B12B2" w:rsidRPr="003E6A25" w:rsidRDefault="003B12B2" w:rsidP="000578B2">
      <w:pPr>
        <w:pStyle w:val="NormalWeb"/>
        <w:jc w:val="both"/>
        <w:rPr>
          <w:rFonts w:ascii="Garamond" w:hAnsi="Garamond"/>
        </w:rPr>
      </w:pPr>
      <w:r w:rsidRPr="003E6A25">
        <w:rPr>
          <w:rFonts w:ascii="Garamond" w:hAnsi="Garamond"/>
        </w:rPr>
        <w:t>La apertura del procedimiento no implicó una declaración anticipada de responsabilidad, sino el ejercicio de la facultad legal de la Administración para verificar, con fundamento en el acervo probatorio y en los argumentos de las partes, la existencia o no de un incumplimiento contractual susceptible de generar las consecuencias previstas en el contrato y en la ley.</w:t>
      </w:r>
    </w:p>
    <w:p w14:paraId="7112B1F5" w14:textId="3A2D2EB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4.2. Citación a audiencia y formulación de los hechos materia de análisis</w:t>
      </w:r>
    </w:p>
    <w:p w14:paraId="7541E94E" w14:textId="77777777" w:rsidR="003B12B2" w:rsidRPr="003E6A25" w:rsidRDefault="003B12B2" w:rsidP="00C46622">
      <w:pPr>
        <w:pStyle w:val="NormalWeb"/>
        <w:jc w:val="both"/>
        <w:rPr>
          <w:rFonts w:ascii="Garamond" w:hAnsi="Garamond"/>
        </w:rPr>
      </w:pPr>
      <w:r w:rsidRPr="003E6A25">
        <w:rPr>
          <w:rFonts w:ascii="Garamond" w:hAnsi="Garamond"/>
        </w:rPr>
        <w:t>En cumplimiento del procedimiento previsto en el artículo 86 de la Ley 1474 de 2011, la Administración convocó al contratista y a la compañía aseguradora a la audiencia pública, informándoles de manera clara y suficiente los hechos objeto de análisis, las obligaciones contractuales presuntamente incumplidas, las consecuencias jurídicas que eventualmente podrían derivarse de la actuación y las pruebas que sustentaban el inicio del procedimiento.</w:t>
      </w:r>
    </w:p>
    <w:p w14:paraId="34FF2A50" w14:textId="77777777" w:rsidR="00C17428" w:rsidRDefault="003B12B2" w:rsidP="00C17428">
      <w:pPr>
        <w:pStyle w:val="NormalWeb"/>
        <w:jc w:val="both"/>
        <w:rPr>
          <w:rFonts w:ascii="Garamond" w:hAnsi="Garamond"/>
        </w:rPr>
      </w:pPr>
      <w:r w:rsidRPr="003E6A25">
        <w:rPr>
          <w:rFonts w:ascii="Garamond" w:hAnsi="Garamond"/>
        </w:rPr>
        <w:t>Con la citación efectuada se garantizó el conocimiento previo de los hechos, el acceso al expediente administrativo y la posibilidad de preparar adecuadamente la defensa técnica y jurídica, materializando los principios de publicidad, transparencia, contradicción y debido proceso.</w:t>
      </w:r>
    </w:p>
    <w:p w14:paraId="076E1FCB" w14:textId="03642C2B" w:rsidR="003B12B2" w:rsidRPr="00C17428" w:rsidRDefault="003B12B2" w:rsidP="00C17428">
      <w:pPr>
        <w:pStyle w:val="NormalWeb"/>
        <w:jc w:val="both"/>
        <w:rPr>
          <w:rFonts w:ascii="Garamond" w:hAnsi="Garamond"/>
          <w:b/>
          <w:bCs/>
        </w:rPr>
      </w:pPr>
      <w:r w:rsidRPr="00C17428">
        <w:rPr>
          <w:rFonts w:ascii="Garamond" w:hAnsi="Garamond"/>
          <w:b/>
          <w:bCs/>
        </w:rPr>
        <w:t>4.3. Ejercicio del derecho de defensa y contradicción</w:t>
      </w:r>
    </w:p>
    <w:p w14:paraId="26C65543" w14:textId="77777777" w:rsidR="003B12B2" w:rsidRPr="003E6A25" w:rsidRDefault="003B12B2" w:rsidP="00C46622">
      <w:pPr>
        <w:pStyle w:val="NormalWeb"/>
        <w:jc w:val="both"/>
        <w:rPr>
          <w:rFonts w:ascii="Garamond" w:hAnsi="Garamond"/>
        </w:rPr>
      </w:pPr>
      <w:r w:rsidRPr="003E6A25">
        <w:rPr>
          <w:rFonts w:ascii="Garamond" w:hAnsi="Garamond"/>
        </w:rPr>
        <w:t xml:space="preserve">Durante el desarrollo del procedimiento administrativo, la </w:t>
      </w:r>
      <w:r w:rsidRPr="003E6A25">
        <w:rPr>
          <w:rFonts w:ascii="Garamond" w:hAnsi="Garamond"/>
          <w:b/>
          <w:bCs/>
        </w:rPr>
        <w:t>UNIÓN TEMPORAL BOLÍVAR</w:t>
      </w:r>
      <w:r w:rsidRPr="003E6A25">
        <w:rPr>
          <w:rFonts w:ascii="Garamond" w:hAnsi="Garamond"/>
        </w:rPr>
        <w:t xml:space="preserve"> y la </w:t>
      </w:r>
      <w:r w:rsidRPr="003E6A25">
        <w:rPr>
          <w:rFonts w:ascii="Garamond" w:hAnsi="Garamond"/>
          <w:b/>
          <w:bCs/>
        </w:rPr>
        <w:t>COMPAÑÍA MUNDIAL DE SEGUROS S.A</w:t>
      </w:r>
      <w:r w:rsidRPr="003E6A25">
        <w:rPr>
          <w:rFonts w:ascii="Garamond" w:hAnsi="Garamond"/>
        </w:rPr>
        <w:t>. ejercieron de manera amplia y efectiva su derecho de defensa.</w:t>
      </w:r>
    </w:p>
    <w:p w14:paraId="7810DF0D" w14:textId="77777777" w:rsidR="00C17428" w:rsidRDefault="00C17428" w:rsidP="00C46622">
      <w:pPr>
        <w:pStyle w:val="NormalWeb"/>
        <w:jc w:val="both"/>
        <w:rPr>
          <w:rFonts w:ascii="Garamond" w:hAnsi="Garamond"/>
        </w:rPr>
      </w:pPr>
    </w:p>
    <w:p w14:paraId="21C1ACC1" w14:textId="3C071DD9" w:rsidR="003B12B2" w:rsidRPr="003E6A25" w:rsidRDefault="003B12B2" w:rsidP="00C46622">
      <w:pPr>
        <w:pStyle w:val="NormalWeb"/>
        <w:jc w:val="both"/>
        <w:rPr>
          <w:rFonts w:ascii="Garamond" w:hAnsi="Garamond"/>
        </w:rPr>
      </w:pPr>
      <w:r w:rsidRPr="003E6A25">
        <w:rPr>
          <w:rFonts w:ascii="Garamond" w:hAnsi="Garamond"/>
        </w:rPr>
        <w:t xml:space="preserve">En desarrollo de dicha garantía constitucional, las partes intervinientes presentaron observaciones, formularon descargos, aportaron documentos, </w:t>
      </w:r>
      <w:r w:rsidR="000578B2" w:rsidRPr="003E6A25">
        <w:rPr>
          <w:rFonts w:ascii="Garamond" w:hAnsi="Garamond"/>
        </w:rPr>
        <w:t xml:space="preserve">recusaron, </w:t>
      </w:r>
      <w:r w:rsidRPr="003E6A25">
        <w:rPr>
          <w:rFonts w:ascii="Garamond" w:hAnsi="Garamond"/>
        </w:rPr>
        <w:t>solicitaron la práctica de pruebas, intervinieron en las audiencias públicas y expusieron los argumentos jurídicos y técnicos que estimaron pertinentes para desvirtuar los hechos objeto del procedimiento.</w:t>
      </w:r>
    </w:p>
    <w:p w14:paraId="1E0D318C" w14:textId="77777777" w:rsidR="003B12B2" w:rsidRPr="003E6A25" w:rsidRDefault="003B12B2" w:rsidP="00C46622">
      <w:pPr>
        <w:pStyle w:val="NormalWeb"/>
        <w:jc w:val="both"/>
        <w:rPr>
          <w:rFonts w:ascii="Garamond" w:hAnsi="Garamond"/>
        </w:rPr>
      </w:pPr>
      <w:r w:rsidRPr="003E6A25">
        <w:rPr>
          <w:rFonts w:ascii="Garamond" w:hAnsi="Garamond"/>
        </w:rPr>
        <w:t>La totalidad de las actuaciones, escritos y pruebas allegadas fueron incorporadas al expediente administrativo y objeto de valoración por parte de la Administración, sin que se restringiera o limitara el ejercicio de las facultades procesales reconocidas a los sujetos vinculados a la actuación.</w:t>
      </w:r>
    </w:p>
    <w:p w14:paraId="5ABDE365" w14:textId="16E58217" w:rsidR="003B12B2" w:rsidRPr="003E6A25" w:rsidRDefault="003B12B2" w:rsidP="000578B2">
      <w:pPr>
        <w:pStyle w:val="NormalWeb"/>
        <w:jc w:val="both"/>
        <w:rPr>
          <w:rFonts w:ascii="Garamond" w:hAnsi="Garamond"/>
        </w:rPr>
      </w:pPr>
      <w:r w:rsidRPr="003E6A25">
        <w:rPr>
          <w:rFonts w:ascii="Garamond" w:hAnsi="Garamond"/>
        </w:rPr>
        <w:t>En consecuencia, la decisión que se adopta mediante el presente acto administrativo no constituye el resultado exclusivo de los informes de supervisión o interventoría, sino de la valoración integral del material probatorio recaudado y de los argumentos expuestos por las partes durante el trámite administrativo.</w:t>
      </w:r>
    </w:p>
    <w:p w14:paraId="41C9891C" w14:textId="3F44F996" w:rsidR="003B12B2" w:rsidRPr="003E6A25" w:rsidRDefault="003B12B2" w:rsidP="00C46622">
      <w:pPr>
        <w:pStyle w:val="Ttulo2"/>
        <w:jc w:val="both"/>
        <w:rPr>
          <w:rFonts w:ascii="Garamond" w:hAnsi="Garamond"/>
          <w:sz w:val="24"/>
          <w:szCs w:val="24"/>
        </w:rPr>
      </w:pPr>
      <w:r w:rsidRPr="003E6A25">
        <w:rPr>
          <w:rFonts w:ascii="Garamond" w:hAnsi="Garamond"/>
          <w:sz w:val="24"/>
          <w:szCs w:val="24"/>
        </w:rPr>
        <w:t>4.4. Práctica y valoración de las pruebas</w:t>
      </w:r>
    </w:p>
    <w:p w14:paraId="6B9DD4D4" w14:textId="77777777" w:rsidR="003B12B2" w:rsidRPr="003E6A25" w:rsidRDefault="003B12B2" w:rsidP="00C46622">
      <w:pPr>
        <w:pStyle w:val="NormalWeb"/>
        <w:jc w:val="both"/>
        <w:rPr>
          <w:rFonts w:ascii="Garamond" w:hAnsi="Garamond"/>
        </w:rPr>
      </w:pPr>
      <w:r w:rsidRPr="003E6A25">
        <w:rPr>
          <w:rFonts w:ascii="Garamond" w:hAnsi="Garamond"/>
        </w:rPr>
        <w:t>Con el propósito de esclarecer plenamente los hechos objeto de análisis, la Administración decretó y practicó las pruebas que consideró pertinentes, conducentes y útiles para establecer el estado real de ejecución del contrato.</w:t>
      </w:r>
    </w:p>
    <w:p w14:paraId="20FACB2B" w14:textId="77777777" w:rsidR="003B12B2" w:rsidRPr="003E6A25" w:rsidRDefault="003B12B2" w:rsidP="00C46622">
      <w:pPr>
        <w:pStyle w:val="NormalWeb"/>
        <w:jc w:val="both"/>
        <w:rPr>
          <w:rFonts w:ascii="Garamond" w:hAnsi="Garamond"/>
        </w:rPr>
      </w:pPr>
      <w:r w:rsidRPr="003E6A25">
        <w:rPr>
          <w:rFonts w:ascii="Garamond" w:hAnsi="Garamond"/>
        </w:rPr>
        <w:t>En desarrollo de dicha actividad probatoria fueron valorados, entre otros elementos de juicio:</w:t>
      </w:r>
    </w:p>
    <w:p w14:paraId="5050F7BA"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El contrato de obra y sus documentos integrantes. </w:t>
      </w:r>
    </w:p>
    <w:p w14:paraId="4D3C82DF"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estudios previos y documentos del proceso de selección. </w:t>
      </w:r>
    </w:p>
    <w:p w14:paraId="257578DC"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pólizas constituidas por el contratista. </w:t>
      </w:r>
    </w:p>
    <w:p w14:paraId="26AA4D37"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actas contractuales. </w:t>
      </w:r>
    </w:p>
    <w:p w14:paraId="45586877" w14:textId="0B0BAC62" w:rsidR="000578B2" w:rsidRPr="007063F1" w:rsidRDefault="003B12B2" w:rsidP="007063F1">
      <w:pPr>
        <w:numPr>
          <w:ilvl w:val="0"/>
          <w:numId w:val="32"/>
        </w:numPr>
        <w:spacing w:before="100" w:beforeAutospacing="1" w:after="100" w:afterAutospacing="1"/>
        <w:jc w:val="both"/>
        <w:rPr>
          <w:rFonts w:ascii="Garamond" w:hAnsi="Garamond"/>
        </w:rPr>
      </w:pPr>
      <w:r w:rsidRPr="003E6A25">
        <w:rPr>
          <w:rFonts w:ascii="Garamond" w:hAnsi="Garamond"/>
        </w:rPr>
        <w:t xml:space="preserve">Los informes periódicos y finales de interventoría. </w:t>
      </w:r>
    </w:p>
    <w:p w14:paraId="1A67F5A4" w14:textId="0595CF0F"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informes emitidos por la supervisión. </w:t>
      </w:r>
    </w:p>
    <w:p w14:paraId="21474728"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actas de comité de obra. </w:t>
      </w:r>
    </w:p>
    <w:p w14:paraId="4681944F"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comunicaciones intercambiadas entre las partes. </w:t>
      </w:r>
    </w:p>
    <w:p w14:paraId="4D757D4A" w14:textId="5F67099D" w:rsidR="004E5186" w:rsidRPr="004E5186" w:rsidRDefault="003B12B2" w:rsidP="004E5186">
      <w:pPr>
        <w:numPr>
          <w:ilvl w:val="0"/>
          <w:numId w:val="32"/>
        </w:numPr>
        <w:spacing w:before="100" w:beforeAutospacing="1" w:after="100" w:afterAutospacing="1"/>
        <w:jc w:val="both"/>
        <w:rPr>
          <w:rFonts w:ascii="Garamond" w:hAnsi="Garamond"/>
        </w:rPr>
      </w:pPr>
      <w:r w:rsidRPr="003E6A25">
        <w:rPr>
          <w:rFonts w:ascii="Garamond" w:hAnsi="Garamond"/>
        </w:rPr>
        <w:t xml:space="preserve">Los requerimientos efectuados al contratista. </w:t>
      </w:r>
    </w:p>
    <w:p w14:paraId="0FFC3F5C" w14:textId="77777777" w:rsidR="004E5186" w:rsidRDefault="004E5186" w:rsidP="004E5186">
      <w:pPr>
        <w:spacing w:before="100" w:beforeAutospacing="1" w:after="100" w:afterAutospacing="1"/>
        <w:ind w:left="720"/>
        <w:jc w:val="both"/>
        <w:rPr>
          <w:rFonts w:ascii="Garamond" w:hAnsi="Garamond"/>
        </w:rPr>
      </w:pPr>
    </w:p>
    <w:p w14:paraId="10D2D172" w14:textId="0EE8B1DE"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registros fotográficos. </w:t>
      </w:r>
    </w:p>
    <w:p w14:paraId="02B9ABB4"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visitas e inspecciones técnicas ordenadas durante el procedimiento. </w:t>
      </w:r>
    </w:p>
    <w:p w14:paraId="27FCCF17"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Los documentos allegados por el contratista y la compañía aseguradora. </w:t>
      </w:r>
    </w:p>
    <w:p w14:paraId="28A16FC3" w14:textId="77777777" w:rsidR="003B12B2" w:rsidRPr="003E6A25" w:rsidRDefault="003B12B2" w:rsidP="00C46622">
      <w:pPr>
        <w:numPr>
          <w:ilvl w:val="0"/>
          <w:numId w:val="32"/>
        </w:numPr>
        <w:spacing w:before="100" w:beforeAutospacing="1" w:after="100" w:afterAutospacing="1"/>
        <w:jc w:val="both"/>
        <w:rPr>
          <w:rFonts w:ascii="Garamond" w:hAnsi="Garamond"/>
        </w:rPr>
      </w:pPr>
      <w:r w:rsidRPr="003E6A25">
        <w:rPr>
          <w:rFonts w:ascii="Garamond" w:hAnsi="Garamond"/>
        </w:rPr>
        <w:t xml:space="preserve">Las intervenciones realizadas durante las audiencias públicas. </w:t>
      </w:r>
    </w:p>
    <w:p w14:paraId="1EA097F4" w14:textId="77369F9A" w:rsidR="003B12B2" w:rsidRPr="003E6A25" w:rsidRDefault="003B12B2" w:rsidP="000578B2">
      <w:pPr>
        <w:pStyle w:val="NormalWeb"/>
        <w:jc w:val="both"/>
        <w:rPr>
          <w:rFonts w:ascii="Garamond" w:hAnsi="Garamond"/>
        </w:rPr>
      </w:pPr>
      <w:r w:rsidRPr="003E6A25">
        <w:rPr>
          <w:rFonts w:ascii="Garamond" w:hAnsi="Garamond"/>
        </w:rPr>
        <w:t>Las pruebas fueron apreciadas de manera conjunta, conforme a las reglas de la sana crítica, atendiendo los principios de objetividad, imparcialidad, razonabilidad y valoración integral del acervo probatorio.</w:t>
      </w:r>
    </w:p>
    <w:p w14:paraId="11F23A3E"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4.5. Suspensiones del procedimiento y continuidad de la actuación</w:t>
      </w:r>
    </w:p>
    <w:p w14:paraId="14B124C2" w14:textId="385C4675" w:rsidR="003B12B2" w:rsidRPr="003E6A25" w:rsidRDefault="003B12B2" w:rsidP="00C46622">
      <w:pPr>
        <w:pStyle w:val="NormalWeb"/>
        <w:jc w:val="both"/>
        <w:rPr>
          <w:rFonts w:ascii="Garamond" w:hAnsi="Garamond"/>
        </w:rPr>
      </w:pPr>
      <w:r w:rsidRPr="003E6A25">
        <w:rPr>
          <w:rFonts w:ascii="Garamond" w:hAnsi="Garamond"/>
        </w:rPr>
        <w:t>Durante el desarrollo del procedimiento administrativo se presentaron diversas circunstancias procesales que hicieron necesaria la suspensión temporal de algunas actuaciones, particularmente aquellas relacionadas con solicitudes formuladas por los sujetos procesales, la necesidad de garantizar el acceso completo al expediente, la práctica de pruebas adicionales y la resolución de incidencias procesales surgidas durante las audiencias.</w:t>
      </w:r>
    </w:p>
    <w:p w14:paraId="6ADBDDD9" w14:textId="77777777" w:rsidR="003B12B2" w:rsidRPr="003E6A25" w:rsidRDefault="003B12B2" w:rsidP="00C46622">
      <w:pPr>
        <w:pStyle w:val="NormalWeb"/>
        <w:jc w:val="both"/>
        <w:rPr>
          <w:rFonts w:ascii="Garamond" w:hAnsi="Garamond"/>
        </w:rPr>
      </w:pPr>
      <w:r w:rsidRPr="003E6A25">
        <w:rPr>
          <w:rFonts w:ascii="Garamond" w:hAnsi="Garamond"/>
        </w:rPr>
        <w:t>Igualmente, la Administración atendió las recusaciones presentadas dentro del trámite, suspendiendo las actuaciones cuando ello resultó legalmente procedente y remitiendo las solicitudes a la autoridad competente para su decisión, garantizando en todo momento la imparcialidad del procedimiento y el respeto por las reglas previstas en el Código de Procedimiento Administrativo y de lo Contencioso Administrativo.</w:t>
      </w:r>
    </w:p>
    <w:p w14:paraId="0FDAB097" w14:textId="77777777" w:rsidR="003B12B2" w:rsidRPr="003E6A25" w:rsidRDefault="003B12B2" w:rsidP="00C46622">
      <w:pPr>
        <w:pStyle w:val="NormalWeb"/>
        <w:jc w:val="both"/>
        <w:rPr>
          <w:rFonts w:ascii="Garamond" w:hAnsi="Garamond"/>
        </w:rPr>
      </w:pPr>
      <w:r w:rsidRPr="003E6A25">
        <w:rPr>
          <w:rFonts w:ascii="Garamond" w:hAnsi="Garamond"/>
        </w:rPr>
        <w:t>Una vez resueltas dichas incidencias y ejecutoriadas las decisiones correspondientes, el procedimiento continuó su curso normal, preservando la validez de las actuaciones surtidas y garantizando plenamente el ejercicio del derecho de defensa.</w:t>
      </w:r>
    </w:p>
    <w:p w14:paraId="6E6127A6" w14:textId="53101752" w:rsidR="003B12B2" w:rsidRPr="003E6A25" w:rsidRDefault="003B12B2" w:rsidP="00C46622">
      <w:pPr>
        <w:pStyle w:val="Ttulo2"/>
        <w:jc w:val="both"/>
        <w:rPr>
          <w:rFonts w:ascii="Garamond" w:hAnsi="Garamond"/>
          <w:sz w:val="24"/>
          <w:szCs w:val="24"/>
        </w:rPr>
      </w:pPr>
      <w:r w:rsidRPr="003E6A25">
        <w:rPr>
          <w:rFonts w:ascii="Garamond" w:hAnsi="Garamond"/>
          <w:sz w:val="24"/>
          <w:szCs w:val="24"/>
        </w:rPr>
        <w:t>4.6. Auto de pruebas e inspecciones técnicas</w:t>
      </w:r>
    </w:p>
    <w:p w14:paraId="41D6DD92" w14:textId="77777777" w:rsidR="00C17428" w:rsidRDefault="003B12B2" w:rsidP="00C46622">
      <w:pPr>
        <w:pStyle w:val="NormalWeb"/>
        <w:jc w:val="both"/>
        <w:rPr>
          <w:rFonts w:ascii="Garamond" w:hAnsi="Garamond"/>
        </w:rPr>
      </w:pPr>
      <w:r w:rsidRPr="003E6A25">
        <w:rPr>
          <w:rFonts w:ascii="Garamond" w:hAnsi="Garamond"/>
        </w:rPr>
        <w:t xml:space="preserve">Con fundamento en las solicitudes formuladas por las partes y en la necesidad de verificar el estado real de las obras objeto del contrato, la Administración profirió el Auto de Trámite No. </w:t>
      </w:r>
    </w:p>
    <w:p w14:paraId="1EFDAB30" w14:textId="77777777" w:rsidR="002A5723" w:rsidRDefault="002A5723" w:rsidP="00C46622">
      <w:pPr>
        <w:pStyle w:val="NormalWeb"/>
        <w:jc w:val="both"/>
        <w:rPr>
          <w:rFonts w:ascii="Garamond" w:hAnsi="Garamond"/>
        </w:rPr>
      </w:pPr>
    </w:p>
    <w:p w14:paraId="203AFDDF" w14:textId="305A9B1E" w:rsidR="003B12B2" w:rsidRPr="003E6A25" w:rsidRDefault="003B12B2" w:rsidP="00C46622">
      <w:pPr>
        <w:pStyle w:val="NormalWeb"/>
        <w:jc w:val="both"/>
        <w:rPr>
          <w:rFonts w:ascii="Garamond" w:hAnsi="Garamond"/>
        </w:rPr>
      </w:pPr>
      <w:r w:rsidRPr="003E6A25">
        <w:rPr>
          <w:rFonts w:ascii="Garamond" w:hAnsi="Garamond"/>
        </w:rPr>
        <w:t>001 de 2025, mediante el cual ordenó la incorporación de los documentos allegados por el contratista y decretó la práctica de visitas e inspecciones técnicas a las viviendas intervenidas.</w:t>
      </w:r>
    </w:p>
    <w:p w14:paraId="122A2384" w14:textId="77777777" w:rsidR="003B12B2" w:rsidRPr="003E6A25" w:rsidRDefault="003B12B2" w:rsidP="00C46622">
      <w:pPr>
        <w:pStyle w:val="NormalWeb"/>
        <w:jc w:val="both"/>
        <w:rPr>
          <w:rFonts w:ascii="Garamond" w:hAnsi="Garamond"/>
        </w:rPr>
      </w:pPr>
      <w:r w:rsidRPr="003E6A25">
        <w:rPr>
          <w:rFonts w:ascii="Garamond" w:hAnsi="Garamond"/>
        </w:rPr>
        <w:t>La finalidad de dichas actuaciones consistió en contrastar la información contenida en los informes de interventoría con el estado material de las obras, verificar los avances efectivamente ejecutados y contar con elementos objetivos que permitieran adoptar una decisión ajustada a la realidad fáctica del contrato.</w:t>
      </w:r>
    </w:p>
    <w:p w14:paraId="427D6A20" w14:textId="09E37DCC" w:rsidR="003B12B2" w:rsidRPr="003E6A25" w:rsidRDefault="003B12B2" w:rsidP="000578B2">
      <w:pPr>
        <w:pStyle w:val="NormalWeb"/>
        <w:jc w:val="both"/>
        <w:rPr>
          <w:rFonts w:ascii="Garamond" w:hAnsi="Garamond"/>
        </w:rPr>
      </w:pPr>
      <w:commentRangeStart w:id="1"/>
      <w:r w:rsidRPr="003E6A25">
        <w:rPr>
          <w:rFonts w:ascii="Garamond" w:hAnsi="Garamond"/>
        </w:rPr>
        <w:t>Los resultados de las inspecciones practicadas fueron incorporados al expediente administrativo y analizados conjuntamente con el resto del acervo probatorio, constituyendo un elemento relevante para establecer el nivel real de ejecución alcanzado al vencimiento del plazo contractual.</w:t>
      </w:r>
      <w:commentRangeEnd w:id="1"/>
      <w:r w:rsidR="002A5723">
        <w:rPr>
          <w:rStyle w:val="Refdecomentario"/>
          <w:rFonts w:eastAsia="Times New Roman"/>
          <w:kern w:val="0"/>
          <w:lang w:eastAsia="es-CO"/>
        </w:rPr>
        <w:commentReference w:id="1"/>
      </w:r>
    </w:p>
    <w:p w14:paraId="605D34F3" w14:textId="77777777" w:rsidR="003B12B2" w:rsidRPr="003E6A25" w:rsidRDefault="003B12B2" w:rsidP="00C46622">
      <w:pPr>
        <w:pStyle w:val="Ttulo2"/>
        <w:jc w:val="both"/>
        <w:rPr>
          <w:rFonts w:ascii="Garamond" w:hAnsi="Garamond"/>
          <w:sz w:val="24"/>
          <w:szCs w:val="24"/>
        </w:rPr>
      </w:pPr>
      <w:r w:rsidRPr="003E6A25">
        <w:rPr>
          <w:rFonts w:ascii="Garamond" w:hAnsi="Garamond"/>
          <w:sz w:val="24"/>
          <w:szCs w:val="24"/>
        </w:rPr>
        <w:t>4.7. Garantías procesales observadas por la Administración</w:t>
      </w:r>
    </w:p>
    <w:p w14:paraId="35398516" w14:textId="77777777" w:rsidR="004E5186" w:rsidRDefault="003B12B2" w:rsidP="00C46622">
      <w:pPr>
        <w:pStyle w:val="NormalWeb"/>
        <w:jc w:val="both"/>
        <w:rPr>
          <w:rFonts w:ascii="Garamond" w:hAnsi="Garamond"/>
        </w:rPr>
      </w:pPr>
      <w:r w:rsidRPr="003E6A25">
        <w:rPr>
          <w:rFonts w:ascii="Garamond" w:hAnsi="Garamond"/>
        </w:rPr>
        <w:t>Del análisis integral de la actuación administrativa se concluye que el Fondo de Desarrollo Local de Ciudad Bolívar respetó de manera estricta las garantías que integran el debido proceso administrativo.</w:t>
      </w:r>
    </w:p>
    <w:p w14:paraId="1366D8A1" w14:textId="0F07B1B7" w:rsidR="003B12B2" w:rsidRPr="003E6A25" w:rsidRDefault="003B12B2" w:rsidP="00C46622">
      <w:pPr>
        <w:pStyle w:val="NormalWeb"/>
        <w:jc w:val="both"/>
        <w:rPr>
          <w:rFonts w:ascii="Garamond" w:hAnsi="Garamond"/>
        </w:rPr>
      </w:pPr>
      <w:r w:rsidRPr="003E6A25">
        <w:rPr>
          <w:rFonts w:ascii="Garamond" w:hAnsi="Garamond"/>
        </w:rPr>
        <w:t>En efecto, el contratista y la compañía aseguradora fueron informados oportunamente del inicio del procedimiento, conocieron los hechos materia de análisis, tuvieron acceso al expediente, presentaron descargos, aportaron pruebas, solicitaron actuaciones adicionales, participaron en las audiencias públicas, controvirtieron el material probatorio y ejercieron plenamente su derecho de defensa.</w:t>
      </w:r>
    </w:p>
    <w:p w14:paraId="6B915D7F" w14:textId="2E91649C" w:rsidR="003B12B2" w:rsidRPr="003E6A25" w:rsidRDefault="003B12B2" w:rsidP="00C46622">
      <w:pPr>
        <w:pStyle w:val="NormalWeb"/>
        <w:jc w:val="both"/>
        <w:rPr>
          <w:rFonts w:ascii="Garamond" w:hAnsi="Garamond"/>
        </w:rPr>
      </w:pPr>
      <w:r w:rsidRPr="003E6A25">
        <w:rPr>
          <w:rFonts w:ascii="Garamond" w:hAnsi="Garamond"/>
        </w:rPr>
        <w:t>En consecuencia, la decisión contenida en el presente acto administrativo no constituye una actuación sorpresiva ni arbitraria, sino el resultado de un procedimiento administrativo desarrollado con observancia de los principios de legalidad, publicidad, imparcialidad, contradicción, transparencia y debido proceso, garantizando a las partes todas las oportunidades previstas por el ordenamiento jurídico para ejercer su defensa.</w:t>
      </w:r>
    </w:p>
    <w:p w14:paraId="4DB82B08" w14:textId="77777777" w:rsidR="004E5186" w:rsidRDefault="004E5186" w:rsidP="00C46622">
      <w:pPr>
        <w:pStyle w:val="Ttulo1"/>
        <w:jc w:val="both"/>
        <w:rPr>
          <w:rFonts w:ascii="Garamond" w:hAnsi="Garamond"/>
          <w:b/>
          <w:bCs/>
          <w:color w:val="000000" w:themeColor="text1"/>
          <w:sz w:val="24"/>
          <w:szCs w:val="24"/>
        </w:rPr>
      </w:pPr>
    </w:p>
    <w:p w14:paraId="006BDA82" w14:textId="7AB35B08" w:rsidR="00F353DB" w:rsidRPr="003E6A25" w:rsidRDefault="00F353DB" w:rsidP="00C46622">
      <w:pPr>
        <w:pStyle w:val="Ttulo1"/>
        <w:jc w:val="both"/>
        <w:rPr>
          <w:rFonts w:ascii="Garamond" w:hAnsi="Garamond"/>
          <w:b/>
          <w:bCs/>
          <w:sz w:val="24"/>
          <w:szCs w:val="24"/>
        </w:rPr>
      </w:pPr>
      <w:r w:rsidRPr="003E6A25">
        <w:rPr>
          <w:rFonts w:ascii="Garamond" w:hAnsi="Garamond"/>
          <w:b/>
          <w:bCs/>
          <w:color w:val="000000" w:themeColor="text1"/>
          <w:sz w:val="24"/>
          <w:szCs w:val="24"/>
        </w:rPr>
        <w:t>V. MATERIAL PROBATORIO Y HECHOS PLENAMENTE ACREDITADOS</w:t>
      </w:r>
    </w:p>
    <w:p w14:paraId="44AA619A"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5.1. Consideraciones preliminares sobre la valoración de la prueba</w:t>
      </w:r>
    </w:p>
    <w:p w14:paraId="576F2983" w14:textId="77777777" w:rsidR="00F353DB" w:rsidRPr="003E6A25" w:rsidRDefault="00F353DB" w:rsidP="00C46622">
      <w:pPr>
        <w:pStyle w:val="NormalWeb"/>
        <w:jc w:val="both"/>
        <w:rPr>
          <w:rFonts w:ascii="Garamond" w:hAnsi="Garamond"/>
        </w:rPr>
      </w:pPr>
      <w:r w:rsidRPr="003E6A25">
        <w:rPr>
          <w:rFonts w:ascii="Garamond" w:hAnsi="Garamond"/>
        </w:rPr>
        <w:t>Antes de abordar el análisis de fondo, resulta necesario precisar que la decisión administrativa que se adopta mediante el presente acto no se fundamenta en un único medio probatorio ni en apreciaciones aisladas de la supervisión o de la interventoría.</w:t>
      </w:r>
    </w:p>
    <w:p w14:paraId="5E98605A" w14:textId="77777777" w:rsidR="00F353DB" w:rsidRPr="003E6A25" w:rsidRDefault="00F353DB" w:rsidP="00C46622">
      <w:pPr>
        <w:pStyle w:val="NormalWeb"/>
        <w:jc w:val="both"/>
        <w:rPr>
          <w:rFonts w:ascii="Garamond" w:hAnsi="Garamond"/>
        </w:rPr>
      </w:pPr>
      <w:r w:rsidRPr="003E6A25">
        <w:rPr>
          <w:rFonts w:ascii="Garamond" w:hAnsi="Garamond"/>
        </w:rPr>
        <w:t>En cumplimiento de los principios de imparcialidad, objetividad y debido proceso, la Administración efectuó una valoración integral del acervo probatorio recaudado durante la ejecución contractual y en el curso del procedimiento administrativo, apreciando las pruebas de manera conjunta, conforme a las reglas de la sana crítica y atendiendo los principios de razonabilidad, congruencia y libre valoración de la prueba que orientan las actuaciones administrativas.</w:t>
      </w:r>
    </w:p>
    <w:p w14:paraId="44750F5A" w14:textId="6AE10859" w:rsidR="00F353DB" w:rsidRPr="003E6A25" w:rsidRDefault="00F353DB" w:rsidP="00907BE8">
      <w:pPr>
        <w:pStyle w:val="NormalWeb"/>
        <w:jc w:val="both"/>
        <w:rPr>
          <w:rFonts w:ascii="Garamond" w:hAnsi="Garamond"/>
        </w:rPr>
      </w:pPr>
      <w:r w:rsidRPr="003E6A25">
        <w:rPr>
          <w:rFonts w:ascii="Garamond" w:hAnsi="Garamond"/>
        </w:rPr>
        <w:t>En consecuencia, las conclusiones que se exponen a continuación corresponden al análisis realizado por esta Administración con fundamento en la totalidad de los documentos obrantes en el expediente y no constituyen una simple reproducción de los informes elaborados por la supervisión o la interventoría.</w:t>
      </w:r>
    </w:p>
    <w:p w14:paraId="59DABD8B" w14:textId="588B3F5F"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5.2. Material probatorio valorado</w:t>
      </w:r>
    </w:p>
    <w:p w14:paraId="37A67322" w14:textId="77777777" w:rsidR="00F353DB" w:rsidRPr="003E6A25" w:rsidRDefault="00F353DB" w:rsidP="00C46622">
      <w:pPr>
        <w:pStyle w:val="NormalWeb"/>
        <w:jc w:val="both"/>
        <w:rPr>
          <w:rFonts w:ascii="Garamond" w:hAnsi="Garamond"/>
        </w:rPr>
      </w:pPr>
      <w:r w:rsidRPr="003E6A25">
        <w:rPr>
          <w:rFonts w:ascii="Garamond" w:hAnsi="Garamond"/>
        </w:rPr>
        <w:t>Para efectos de adoptar la presente decisión fueron analizados, entre otros, los siguientes medios de prueba:</w:t>
      </w:r>
    </w:p>
    <w:p w14:paraId="079BBFF0"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El Contrato de Obra Pública No. COP-859-2023 y sus documentos integrantes. </w:t>
      </w:r>
    </w:p>
    <w:p w14:paraId="7D1F12D4"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estudios previos y el pliego de condiciones que sirvieron de fundamento al proceso de selección. </w:t>
      </w:r>
    </w:p>
    <w:p w14:paraId="2C225B82"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 propuesta presentada por la </w:t>
      </w:r>
      <w:r w:rsidRPr="003E6A25">
        <w:rPr>
          <w:rFonts w:ascii="Garamond" w:hAnsi="Garamond"/>
          <w:b/>
          <w:bCs/>
        </w:rPr>
        <w:t>UNIÓN TEMPORAL BOLÍVAR</w:t>
      </w:r>
      <w:r w:rsidRPr="003E6A25">
        <w:rPr>
          <w:rFonts w:ascii="Garamond" w:hAnsi="Garamond"/>
        </w:rPr>
        <w:t xml:space="preserve">. </w:t>
      </w:r>
    </w:p>
    <w:p w14:paraId="1E4775D1" w14:textId="77777777" w:rsidR="004E5186" w:rsidRDefault="004E5186" w:rsidP="004E5186">
      <w:pPr>
        <w:spacing w:before="100" w:beforeAutospacing="1" w:after="100" w:afterAutospacing="1"/>
        <w:jc w:val="both"/>
        <w:rPr>
          <w:rFonts w:ascii="Garamond" w:hAnsi="Garamond"/>
        </w:rPr>
      </w:pPr>
    </w:p>
    <w:p w14:paraId="167E9A68" w14:textId="77777777" w:rsidR="004E5186" w:rsidRDefault="004E5186" w:rsidP="004E5186">
      <w:pPr>
        <w:spacing w:before="100" w:beforeAutospacing="1" w:after="100" w:afterAutospacing="1"/>
        <w:ind w:left="720"/>
        <w:jc w:val="both"/>
        <w:rPr>
          <w:rFonts w:ascii="Garamond" w:hAnsi="Garamond"/>
        </w:rPr>
      </w:pPr>
    </w:p>
    <w:p w14:paraId="3D1D53E2" w14:textId="2D57A5C1"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pólizas que integran la garantía única de cumplimiento. </w:t>
      </w:r>
    </w:p>
    <w:p w14:paraId="2927CDC9"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actas de inicio, suspensión, reinicio y demás actuaciones contractuales. </w:t>
      </w:r>
    </w:p>
    <w:p w14:paraId="770E52D6"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informes periódicos y el informe final de interventoría. </w:t>
      </w:r>
    </w:p>
    <w:p w14:paraId="7B8CCC22"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informes emitidos por la supervisión del contrato. </w:t>
      </w:r>
    </w:p>
    <w:p w14:paraId="2FC41DDC" w14:textId="77777777" w:rsidR="00252F0C" w:rsidRDefault="00F353DB" w:rsidP="00252F0C">
      <w:pPr>
        <w:numPr>
          <w:ilvl w:val="0"/>
          <w:numId w:val="33"/>
        </w:numPr>
        <w:spacing w:before="100" w:beforeAutospacing="1" w:after="100" w:afterAutospacing="1"/>
        <w:jc w:val="both"/>
        <w:rPr>
          <w:rFonts w:ascii="Garamond" w:hAnsi="Garamond"/>
        </w:rPr>
      </w:pPr>
      <w:r w:rsidRPr="003E6A25">
        <w:rPr>
          <w:rFonts w:ascii="Garamond" w:hAnsi="Garamond"/>
        </w:rPr>
        <w:t xml:space="preserve">Las actas de comité técnico y de seguimiento. </w:t>
      </w:r>
    </w:p>
    <w:p w14:paraId="4553A107" w14:textId="1124119B" w:rsidR="00F353DB" w:rsidRPr="00252F0C" w:rsidRDefault="00F353DB" w:rsidP="00252F0C">
      <w:pPr>
        <w:numPr>
          <w:ilvl w:val="0"/>
          <w:numId w:val="33"/>
        </w:numPr>
        <w:spacing w:before="100" w:beforeAutospacing="1" w:after="100" w:afterAutospacing="1"/>
        <w:jc w:val="both"/>
        <w:rPr>
          <w:rFonts w:ascii="Garamond" w:hAnsi="Garamond"/>
        </w:rPr>
      </w:pPr>
      <w:r w:rsidRPr="00252F0C">
        <w:rPr>
          <w:rFonts w:ascii="Garamond" w:hAnsi="Garamond"/>
        </w:rPr>
        <w:t xml:space="preserve">Los requerimientos efectuados al contratista durante la ejecución. </w:t>
      </w:r>
    </w:p>
    <w:p w14:paraId="34555C6A"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respuestas emitidas por el contratista. </w:t>
      </w:r>
    </w:p>
    <w:p w14:paraId="49C7244D"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documentos aportados durante el procedimiento administrativo. </w:t>
      </w:r>
    </w:p>
    <w:p w14:paraId="77C876FC"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El Auto de Trámite No. 001 de 2025 y las pruebas practicadas en su cumplimiento. </w:t>
      </w:r>
    </w:p>
    <w:p w14:paraId="608999A8"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visitas técnicas e inspecciones efectuadas por la Administración. </w:t>
      </w:r>
    </w:p>
    <w:p w14:paraId="19D8A277"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Los registros fotográficos. </w:t>
      </w:r>
    </w:p>
    <w:p w14:paraId="26DD804E"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intervenciones realizadas por el contratista y la compañía aseguradora durante las audiencias públicas. </w:t>
      </w:r>
    </w:p>
    <w:p w14:paraId="1A8FF858" w14:textId="77777777" w:rsidR="00F353DB" w:rsidRPr="003E6A25" w:rsidRDefault="00F353DB" w:rsidP="00C46622">
      <w:pPr>
        <w:numPr>
          <w:ilvl w:val="0"/>
          <w:numId w:val="33"/>
        </w:numPr>
        <w:spacing w:before="100" w:beforeAutospacing="1" w:after="100" w:afterAutospacing="1"/>
        <w:jc w:val="both"/>
        <w:rPr>
          <w:rFonts w:ascii="Garamond" w:hAnsi="Garamond"/>
        </w:rPr>
      </w:pPr>
      <w:r w:rsidRPr="003E6A25">
        <w:rPr>
          <w:rFonts w:ascii="Garamond" w:hAnsi="Garamond"/>
        </w:rPr>
        <w:t xml:space="preserve">Las demás pruebas documentales que hacen parte del expediente administrativo. </w:t>
      </w:r>
    </w:p>
    <w:p w14:paraId="7B8C513A" w14:textId="6D81B653" w:rsidR="00F353DB" w:rsidRPr="003E6A25" w:rsidRDefault="00F353DB" w:rsidP="00907BE8">
      <w:pPr>
        <w:pStyle w:val="NormalWeb"/>
        <w:jc w:val="both"/>
        <w:rPr>
          <w:rFonts w:ascii="Garamond" w:hAnsi="Garamond"/>
        </w:rPr>
      </w:pPr>
      <w:r w:rsidRPr="003E6A25">
        <w:rPr>
          <w:rFonts w:ascii="Garamond" w:hAnsi="Garamond"/>
        </w:rPr>
        <w:t>Cada uno de estos elementos fue analizado en conjunto, sin otorgar prevalencia exclusiva a ninguno de ellos, con el propósito de establecer la realidad de la ejecución contractual y la eventual configuración del incumplimiento.</w:t>
      </w:r>
    </w:p>
    <w:p w14:paraId="51150638" w14:textId="4FC47B13"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5.3. Hecho plenamente acreditado No. 1</w:t>
      </w:r>
    </w:p>
    <w:p w14:paraId="2E9C7EC4"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Existencia y obligatoriedad del contrato</w:t>
      </w:r>
    </w:p>
    <w:p w14:paraId="1F3FB5F4" w14:textId="77777777" w:rsidR="004E5186" w:rsidRDefault="00F353DB" w:rsidP="00C46622">
      <w:pPr>
        <w:pStyle w:val="NormalWeb"/>
        <w:jc w:val="both"/>
        <w:rPr>
          <w:rFonts w:ascii="Garamond" w:hAnsi="Garamond"/>
        </w:rPr>
      </w:pPr>
      <w:r w:rsidRPr="003E6A25">
        <w:rPr>
          <w:rFonts w:ascii="Garamond" w:hAnsi="Garamond"/>
        </w:rPr>
        <w:t xml:space="preserve">Del contrato suscrito entre el Fondo de Desarrollo Local de Ciudad Bolívar y la </w:t>
      </w:r>
      <w:r w:rsidRPr="003E6A25">
        <w:rPr>
          <w:rFonts w:ascii="Garamond" w:hAnsi="Garamond"/>
          <w:b/>
          <w:bCs/>
        </w:rPr>
        <w:t>UNIÓN TEMPORAL BOLÍVAR</w:t>
      </w:r>
      <w:r w:rsidRPr="003E6A25">
        <w:rPr>
          <w:rFonts w:ascii="Garamond" w:hAnsi="Garamond"/>
        </w:rPr>
        <w:t xml:space="preserve"> se encuentra plenamente acreditada la existencia de un vínculo </w:t>
      </w:r>
    </w:p>
    <w:p w14:paraId="44B7F8AC" w14:textId="1801FC7B" w:rsidR="00F353DB" w:rsidRPr="003E6A25" w:rsidRDefault="00F353DB" w:rsidP="00C46622">
      <w:pPr>
        <w:pStyle w:val="NormalWeb"/>
        <w:jc w:val="both"/>
        <w:rPr>
          <w:rFonts w:ascii="Garamond" w:hAnsi="Garamond"/>
        </w:rPr>
      </w:pPr>
      <w:r w:rsidRPr="003E6A25">
        <w:rPr>
          <w:rFonts w:ascii="Garamond" w:hAnsi="Garamond"/>
        </w:rPr>
        <w:t>jurídico válido y eficaz, mediante el cual el contratista asumió obligaciones concretas relacionadas con la ejecución de las obras de mejoramiento de vivienda objeto del Contrato de Obra Pública No. COP-859-2023.</w:t>
      </w:r>
    </w:p>
    <w:p w14:paraId="29A1996B" w14:textId="77777777" w:rsidR="004E5186" w:rsidRDefault="00F353DB" w:rsidP="00C46622">
      <w:pPr>
        <w:pStyle w:val="NormalWeb"/>
        <w:jc w:val="both"/>
        <w:rPr>
          <w:rFonts w:ascii="Garamond" w:hAnsi="Garamond"/>
        </w:rPr>
      </w:pPr>
      <w:r w:rsidRPr="003E6A25">
        <w:rPr>
          <w:rFonts w:ascii="Garamond" w:hAnsi="Garamond"/>
        </w:rPr>
        <w:t xml:space="preserve">Igualmente se encuentra demostrado que el contratista conocía íntegramente las condiciones técnicas, jurídicas, financieras y administrativas del negocio jurídico, toda vez que participó </w:t>
      </w:r>
    </w:p>
    <w:p w14:paraId="62B7D669" w14:textId="77777777" w:rsidR="004E5186" w:rsidRDefault="004E5186" w:rsidP="00C46622">
      <w:pPr>
        <w:pStyle w:val="NormalWeb"/>
        <w:jc w:val="both"/>
        <w:rPr>
          <w:rFonts w:ascii="Garamond" w:hAnsi="Garamond"/>
        </w:rPr>
      </w:pPr>
    </w:p>
    <w:p w14:paraId="60CBC5A9" w14:textId="3787759D" w:rsidR="00F353DB" w:rsidRPr="003E6A25" w:rsidRDefault="00F353DB" w:rsidP="00C46622">
      <w:pPr>
        <w:pStyle w:val="NormalWeb"/>
        <w:jc w:val="both"/>
        <w:rPr>
          <w:rFonts w:ascii="Garamond" w:hAnsi="Garamond"/>
        </w:rPr>
      </w:pPr>
      <w:r w:rsidRPr="003E6A25">
        <w:rPr>
          <w:rFonts w:ascii="Garamond" w:hAnsi="Garamond"/>
        </w:rPr>
        <w:t>voluntariamente en el proceso de selección, presentó propuesta, aceptó las condiciones previstas en el pliego de condiciones y suscribió el contrato sin formular salvedades respecto de las obligaciones que posteriormente debía ejecutar.</w:t>
      </w:r>
    </w:p>
    <w:p w14:paraId="0EC02D95" w14:textId="185DFFB7" w:rsidR="00F353DB" w:rsidRPr="003E6A25" w:rsidRDefault="00F353DB" w:rsidP="00907BE8">
      <w:pPr>
        <w:pStyle w:val="NormalWeb"/>
        <w:jc w:val="both"/>
        <w:rPr>
          <w:rFonts w:ascii="Garamond" w:hAnsi="Garamond"/>
        </w:rPr>
      </w:pPr>
      <w:r w:rsidRPr="003E6A25">
        <w:rPr>
          <w:rFonts w:ascii="Garamond" w:hAnsi="Garamond"/>
        </w:rPr>
        <w:t>En consecuencia, no existe controversia respecto de la existencia del vínculo contractual ni sobre el contenido de las obligaciones asumidas por el contratista.</w:t>
      </w:r>
    </w:p>
    <w:p w14:paraId="7DA1714F" w14:textId="6927CDAB"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5.4. Hecho plenamente acreditado No. 2</w:t>
      </w:r>
    </w:p>
    <w:p w14:paraId="3584EF24"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El contratista conocía el plazo y la programación contractual</w:t>
      </w:r>
    </w:p>
    <w:p w14:paraId="47D71344" w14:textId="77777777" w:rsidR="00F353DB" w:rsidRPr="003E6A25" w:rsidRDefault="00F353DB" w:rsidP="00C46622">
      <w:pPr>
        <w:pStyle w:val="NormalWeb"/>
        <w:jc w:val="both"/>
        <w:rPr>
          <w:rFonts w:ascii="Garamond" w:hAnsi="Garamond"/>
        </w:rPr>
      </w:pPr>
      <w:r w:rsidRPr="003E6A25">
        <w:rPr>
          <w:rFonts w:ascii="Garamond" w:hAnsi="Garamond"/>
        </w:rPr>
        <w:t xml:space="preserve">Del análisis del contrato, de la programación de obra aprobada, de los cronogramas de ejecución y de los documentos que integran el expediente contractual, se encuentra acreditado que la </w:t>
      </w:r>
      <w:r w:rsidRPr="003E6A25">
        <w:rPr>
          <w:rFonts w:ascii="Garamond" w:hAnsi="Garamond"/>
          <w:b/>
          <w:bCs/>
        </w:rPr>
        <w:t>UNIÓN TEMPORAL BOLÍVAR</w:t>
      </w:r>
      <w:r w:rsidRPr="003E6A25">
        <w:rPr>
          <w:rFonts w:ascii="Garamond" w:hAnsi="Garamond"/>
        </w:rPr>
        <w:t xml:space="preserve"> conocía desde el inicio de la ejecución el plazo contractual, las metas físicas previstas, las actividades programadas y las obligaciones específicas que debía desarrollar dentro del término pactado.</w:t>
      </w:r>
    </w:p>
    <w:p w14:paraId="210AF3B8" w14:textId="77777777" w:rsidR="00F353DB" w:rsidRPr="003E6A25" w:rsidRDefault="00F353DB" w:rsidP="00C46622">
      <w:pPr>
        <w:pStyle w:val="NormalWeb"/>
        <w:jc w:val="both"/>
        <w:rPr>
          <w:rFonts w:ascii="Garamond" w:hAnsi="Garamond"/>
        </w:rPr>
      </w:pPr>
      <w:r w:rsidRPr="003E6A25">
        <w:rPr>
          <w:rFonts w:ascii="Garamond" w:hAnsi="Garamond"/>
        </w:rPr>
        <w:t>Así mismo, se evidencia que el cronograma constituyó una herramienta esencial para la adecuada ejecución del contrato, razón por la cual cualquier modificación al mismo debía ser previamente evaluada y aprobada por la interventoría y la Entidad, sin que el contratista pudiera apartarse unilateralmente de la programación inicialmente definida.</w:t>
      </w:r>
    </w:p>
    <w:p w14:paraId="7DD21434" w14:textId="77777777" w:rsidR="004E5186" w:rsidRDefault="00F353DB" w:rsidP="004E5186">
      <w:pPr>
        <w:pStyle w:val="NormalWeb"/>
        <w:jc w:val="both"/>
        <w:rPr>
          <w:rFonts w:ascii="Garamond" w:hAnsi="Garamond"/>
        </w:rPr>
      </w:pPr>
      <w:r w:rsidRPr="003E6A25">
        <w:rPr>
          <w:rFonts w:ascii="Garamond" w:hAnsi="Garamond"/>
        </w:rPr>
        <w:t>En consecuencia, el atraso progresivo evidenciado durante la ejecución no puede atribuirse al desconocimiento de las obligaciones contractuales ni a la ausencia de programación por parte de la Entidad.</w:t>
      </w:r>
    </w:p>
    <w:p w14:paraId="014EA133" w14:textId="58422D56" w:rsidR="00F353DB" w:rsidRPr="004E5186" w:rsidRDefault="00F353DB" w:rsidP="004E5186">
      <w:pPr>
        <w:pStyle w:val="NormalWeb"/>
        <w:jc w:val="both"/>
        <w:rPr>
          <w:rFonts w:ascii="Garamond" w:hAnsi="Garamond"/>
        </w:rPr>
      </w:pPr>
      <w:r w:rsidRPr="003E6A25">
        <w:rPr>
          <w:rFonts w:ascii="Garamond" w:hAnsi="Garamond"/>
          <w:b/>
          <w:bCs/>
          <w:color w:val="000000" w:themeColor="text1"/>
        </w:rPr>
        <w:t>5.5. Hecho plenamente acreditado No. 3</w:t>
      </w:r>
    </w:p>
    <w:p w14:paraId="408AD3E1"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La Administración realizó seguimiento permanente</w:t>
      </w:r>
    </w:p>
    <w:p w14:paraId="57E00D2B" w14:textId="77777777" w:rsidR="004E5186" w:rsidRDefault="00F353DB" w:rsidP="00C46622">
      <w:pPr>
        <w:pStyle w:val="NormalWeb"/>
        <w:jc w:val="both"/>
        <w:rPr>
          <w:rFonts w:ascii="Garamond" w:hAnsi="Garamond"/>
        </w:rPr>
      </w:pPr>
      <w:r w:rsidRPr="003E6A25">
        <w:rPr>
          <w:rFonts w:ascii="Garamond" w:hAnsi="Garamond"/>
        </w:rPr>
        <w:t xml:space="preserve">Del análisis conjunto de los informes de supervisión, de los informes de interventoría, de las actas de comité, de las comunicaciones oficiales y de los registros incorporados al expediente </w:t>
      </w:r>
    </w:p>
    <w:p w14:paraId="6D6F0A60" w14:textId="77777777" w:rsidR="004E5186" w:rsidRDefault="004E5186" w:rsidP="00C46622">
      <w:pPr>
        <w:pStyle w:val="NormalWeb"/>
        <w:jc w:val="both"/>
        <w:rPr>
          <w:rFonts w:ascii="Garamond" w:hAnsi="Garamond"/>
        </w:rPr>
      </w:pPr>
    </w:p>
    <w:p w14:paraId="28EF3AFA" w14:textId="49661CE3" w:rsidR="00F353DB" w:rsidRPr="003E6A25" w:rsidRDefault="00F353DB" w:rsidP="00C46622">
      <w:pPr>
        <w:pStyle w:val="NormalWeb"/>
        <w:jc w:val="both"/>
        <w:rPr>
          <w:rFonts w:ascii="Garamond" w:hAnsi="Garamond"/>
        </w:rPr>
      </w:pPr>
      <w:r w:rsidRPr="003E6A25">
        <w:rPr>
          <w:rFonts w:ascii="Garamond" w:hAnsi="Garamond"/>
        </w:rPr>
        <w:t>administrativo, se encuentra plenamente acreditado que el Fondo de Desarrollo Local de Ciudad Bolívar ejerció de manera permanente las funciones de seguimiento y control previstas en la Ley 80 de 1993.</w:t>
      </w:r>
    </w:p>
    <w:p w14:paraId="15351FAC" w14:textId="77777777" w:rsidR="00252F0C" w:rsidRDefault="00F353DB" w:rsidP="00907BE8">
      <w:pPr>
        <w:pStyle w:val="NormalWeb"/>
        <w:jc w:val="both"/>
        <w:rPr>
          <w:rFonts w:ascii="Garamond" w:hAnsi="Garamond"/>
        </w:rPr>
      </w:pPr>
      <w:r w:rsidRPr="003E6A25">
        <w:rPr>
          <w:rFonts w:ascii="Garamond" w:hAnsi="Garamond"/>
        </w:rPr>
        <w:t>La prueba recaudada demuestra que la Administración no permaneció pasiva frente a las dificultades presentadas durante la ejecución contractual. Por el contrario, efectuó múltiples requerimientos, formuló observaciones técnicas, promovió reuniones de seguimiento y exigió la adopción de medidas orientadas a superar los atrasos advertidos durante el desarrollo del contrato.</w:t>
      </w:r>
    </w:p>
    <w:p w14:paraId="6AA84666" w14:textId="508EE6B2" w:rsidR="00F353DB" w:rsidRPr="003E6A25" w:rsidRDefault="00F353DB" w:rsidP="00907BE8">
      <w:pPr>
        <w:pStyle w:val="NormalWeb"/>
        <w:jc w:val="both"/>
        <w:rPr>
          <w:rFonts w:ascii="Garamond" w:hAnsi="Garamond"/>
        </w:rPr>
      </w:pPr>
      <w:r w:rsidRPr="003E6A25">
        <w:rPr>
          <w:rFonts w:ascii="Garamond" w:hAnsi="Garamond"/>
        </w:rPr>
        <w:t>Estas actuaciones permiten concluir que la Entidad desplegó las actividades necesarias para procurar el cumplimiento del objeto contractual antes de acudir al ejercicio de su potestad sancionatoria.</w:t>
      </w:r>
    </w:p>
    <w:p w14:paraId="54A1A62C" w14:textId="77777777" w:rsidR="00F353DB" w:rsidRPr="00DB036C" w:rsidRDefault="00F353DB" w:rsidP="00DB036C">
      <w:pPr>
        <w:pStyle w:val="Ttulo1"/>
        <w:jc w:val="both"/>
        <w:rPr>
          <w:rFonts w:ascii="Garamond" w:hAnsi="Garamond"/>
          <w:b/>
          <w:bCs/>
          <w:color w:val="auto"/>
          <w:sz w:val="24"/>
          <w:szCs w:val="24"/>
        </w:rPr>
      </w:pPr>
      <w:r w:rsidRPr="00DB036C">
        <w:rPr>
          <w:rFonts w:ascii="Garamond" w:hAnsi="Garamond"/>
          <w:b/>
          <w:bCs/>
          <w:color w:val="auto"/>
          <w:sz w:val="24"/>
          <w:szCs w:val="24"/>
        </w:rPr>
        <w:t>5.6. Hecho plenamente acreditado No. 4</w:t>
      </w:r>
    </w:p>
    <w:p w14:paraId="5870CE22" w14:textId="77777777" w:rsidR="00F353DB" w:rsidRPr="00DB036C" w:rsidRDefault="00F353DB" w:rsidP="00DB036C">
      <w:pPr>
        <w:pStyle w:val="Ttulo2"/>
        <w:jc w:val="both"/>
        <w:rPr>
          <w:rFonts w:ascii="Garamond" w:hAnsi="Garamond"/>
          <w:sz w:val="24"/>
          <w:szCs w:val="24"/>
        </w:rPr>
      </w:pPr>
      <w:r w:rsidRPr="00DB036C">
        <w:rPr>
          <w:rFonts w:ascii="Garamond" w:hAnsi="Garamond"/>
          <w:sz w:val="24"/>
          <w:szCs w:val="24"/>
        </w:rPr>
        <w:t>Al vencimiento del plazo contractual el objeto no había sido ejecutado en su totalidad</w:t>
      </w:r>
    </w:p>
    <w:p w14:paraId="7AA0DA9F" w14:textId="77777777" w:rsidR="00F353DB" w:rsidRPr="00DB036C" w:rsidRDefault="00F353DB" w:rsidP="00DB036C">
      <w:pPr>
        <w:pStyle w:val="NormalWeb"/>
        <w:jc w:val="both"/>
        <w:rPr>
          <w:rFonts w:ascii="Garamond" w:hAnsi="Garamond"/>
        </w:rPr>
      </w:pPr>
      <w:r w:rsidRPr="00DB036C">
        <w:rPr>
          <w:rFonts w:ascii="Garamond" w:hAnsi="Garamond"/>
        </w:rPr>
        <w:t xml:space="preserve">Este Despacho encuentra plenamente acreditado, con fundamento en la valoración integral de los informes técnicos, las visitas de verificación, las inspecciones practicadas, los registros fotográficos, los informes de supervisión, el informe final de interventoría y las demás pruebas obrantes en el expediente, que al vencimiento del plazo contractual la </w:t>
      </w:r>
      <w:r w:rsidRPr="00DB036C">
        <w:rPr>
          <w:rFonts w:ascii="Garamond" w:hAnsi="Garamond"/>
          <w:b/>
          <w:bCs/>
        </w:rPr>
        <w:t xml:space="preserve">UNIÓN TEMPORAL BOLÍVAR </w:t>
      </w:r>
      <w:r w:rsidRPr="00DB036C">
        <w:rPr>
          <w:rFonts w:ascii="Garamond" w:hAnsi="Garamond"/>
        </w:rPr>
        <w:t>no había ejecutado la totalidad del objeto contratado.</w:t>
      </w:r>
    </w:p>
    <w:p w14:paraId="0431F004" w14:textId="77777777" w:rsidR="00DB036C" w:rsidRPr="00DB036C" w:rsidRDefault="00DB036C" w:rsidP="00DB036C">
      <w:pPr>
        <w:spacing w:before="100" w:beforeAutospacing="1" w:after="100" w:afterAutospacing="1"/>
        <w:jc w:val="both"/>
        <w:rPr>
          <w:rFonts w:ascii="Garamond" w:hAnsi="Garamond"/>
        </w:rPr>
      </w:pPr>
      <w:r w:rsidRPr="00DB036C">
        <w:rPr>
          <w:rFonts w:ascii="Garamond" w:hAnsi="Garamond"/>
        </w:rPr>
        <w:t>Las pruebas obrantes en el expediente permiten establecer que un porcentaje significativo de las actividades objeto del Contrato de Obra Pública No. COP-859-2023 permanecía pendiente de ejecución al momento del vencimiento del plazo contractual y que varias de las intervenciones previstas no fueron iniciadas o culminadas dentro del término pactado, circunstancia que incidió de manera directa en el cumplimiento del objeto contractual y frustró la satisfacción de la finalidad pública perseguida con la contratación.</w:t>
      </w:r>
    </w:p>
    <w:p w14:paraId="0E2FA96D" w14:textId="77777777" w:rsidR="00DB036C" w:rsidRDefault="00DB036C" w:rsidP="00DB036C">
      <w:pPr>
        <w:spacing w:before="100" w:beforeAutospacing="1" w:after="100" w:afterAutospacing="1"/>
        <w:jc w:val="both"/>
        <w:rPr>
          <w:rFonts w:ascii="Garamond" w:hAnsi="Garamond"/>
        </w:rPr>
      </w:pPr>
    </w:p>
    <w:p w14:paraId="314A5C3C" w14:textId="77777777" w:rsidR="00DB036C" w:rsidRDefault="00DB036C" w:rsidP="00DB036C">
      <w:pPr>
        <w:spacing w:before="100" w:beforeAutospacing="1" w:after="100" w:afterAutospacing="1"/>
        <w:jc w:val="both"/>
        <w:rPr>
          <w:rFonts w:ascii="Garamond" w:hAnsi="Garamond"/>
        </w:rPr>
      </w:pPr>
    </w:p>
    <w:p w14:paraId="0AD1791C" w14:textId="55838321" w:rsidR="00DB036C" w:rsidRPr="00DB036C" w:rsidRDefault="00DB036C" w:rsidP="00DB036C">
      <w:pPr>
        <w:spacing w:before="100" w:beforeAutospacing="1" w:after="100" w:afterAutospacing="1"/>
        <w:jc w:val="both"/>
        <w:rPr>
          <w:rFonts w:ascii="Garamond" w:hAnsi="Garamond"/>
        </w:rPr>
      </w:pPr>
      <w:r w:rsidRPr="00DB036C">
        <w:rPr>
          <w:rFonts w:ascii="Garamond" w:hAnsi="Garamond"/>
        </w:rPr>
        <w:t>En efecto, de conformidad con la evaluación del avance físico realizada por la interventoría con corte al 21 de septiembre de 2024, fecha de terminación del contrato, se evidenció que, de las veinticinco (25) viviendas susceptibles de intervención, únicamente trece (13) registraron inicio de ejecución de obras durante la vigencia contractual, sin que ninguna de ellas alcanzara un porcentaje de ejecución del cien por ciento (100%) al finalizar el plazo establecido.</w:t>
      </w:r>
    </w:p>
    <w:p w14:paraId="211FEEBB" w14:textId="77777777" w:rsidR="00DB036C" w:rsidRPr="00DB036C" w:rsidRDefault="00DB036C" w:rsidP="00DB036C">
      <w:pPr>
        <w:spacing w:before="100" w:beforeAutospacing="1" w:after="100" w:afterAutospacing="1"/>
        <w:jc w:val="both"/>
        <w:rPr>
          <w:rFonts w:ascii="Garamond" w:hAnsi="Garamond"/>
        </w:rPr>
      </w:pPr>
      <w:r w:rsidRPr="00DB036C">
        <w:rPr>
          <w:rFonts w:ascii="Garamond" w:hAnsi="Garamond"/>
        </w:rPr>
        <w:t>Igualmente, se constató que respecto de tres (3) viviendas, correspondientes a las de Clara Helena Marentes Salas, Yolanda Vanegas y Yeni Paola Montoya Díaz, los presupuestos de alcance fueron aprobados tanto por la interventoría como por el Fondo de Desarrollo Local de Ciudad Bolívar; sin embargo, el contratista omitió dar apertura a las actividades constructivas, impidiendo el inicio de la ejecución de las obras. De igual forma, en relación con cinco (5) viviendas, correspondientes a Andrés Giovanny Castiblanco Castiblanco, Isidro Otálora Díaz, David Leandro Díaz Otálora, Álvaro Rodríguez Suárez y Duván Leonardo Chávez Ramírez, si bien los presupuestos de alcance fueron aprobados por la interventoría, el contratista no adelantó la socialización de dichos documentos ante el Fondo de Desarrollo Local de Ciudad Bolívar, requisito indispensable para autorizar oficialmente el inicio de las obras, razón por la cual estas tampoco fueron ejecutadas.</w:t>
      </w:r>
    </w:p>
    <w:p w14:paraId="61164151" w14:textId="77777777" w:rsidR="00DB036C" w:rsidRPr="00DB036C" w:rsidRDefault="00DB036C" w:rsidP="00DB036C">
      <w:pPr>
        <w:spacing w:before="100" w:beforeAutospacing="1" w:after="100" w:afterAutospacing="1"/>
        <w:jc w:val="both"/>
        <w:rPr>
          <w:rFonts w:ascii="Garamond" w:hAnsi="Garamond"/>
        </w:rPr>
      </w:pPr>
      <w:r w:rsidRPr="00DB036C">
        <w:rPr>
          <w:rFonts w:ascii="Garamond" w:hAnsi="Garamond"/>
        </w:rPr>
        <w:t>Asimismo, la interventoría estableció que respecto de cuatro (4) viviendas, correspondientes a Rosaura Villarraga de Suárez, Romualdo Cruz Abril, Isabel Rodríguez Martínez y Rafael Antonio Gutiérrez Leal, nunca fue posible definir el alcance de intervención, debido a que el contratista no suministró los presupuestos ajustados requeridos para su revisión, aprobación y visto bueno por parte de la interventoría y del Fondo de Desarrollo Local de Ciudad Bolívar, impidiendo con ello su incorporación al proceso constructivo.</w:t>
      </w:r>
    </w:p>
    <w:p w14:paraId="2DD4A1E9" w14:textId="77777777" w:rsidR="00DB036C" w:rsidRPr="00DB036C" w:rsidRDefault="00DB036C" w:rsidP="00DB036C">
      <w:pPr>
        <w:spacing w:before="100" w:beforeAutospacing="1" w:after="100" w:afterAutospacing="1"/>
        <w:jc w:val="both"/>
        <w:rPr>
          <w:rFonts w:ascii="Garamond" w:hAnsi="Garamond"/>
        </w:rPr>
      </w:pPr>
      <w:r w:rsidRPr="00DB036C">
        <w:rPr>
          <w:rFonts w:ascii="Garamond" w:hAnsi="Garamond"/>
        </w:rPr>
        <w:t>Como consecuencia de las anteriores circunstancias, la evaluación técnica determinó que, al vencimiento del plazo contractual, el proyecto presentaba un retraso equivalente a noventa y cinco (95) días calendario, resultado de aplicar el porcentaje de atraso físico del 47,93 % sobre el plazo total del proyecto, correspondiente a ciento noventa y nueve (199) días calendario.</w:t>
      </w:r>
    </w:p>
    <w:p w14:paraId="6564E15B" w14:textId="77777777" w:rsidR="00DB036C" w:rsidRDefault="00DB036C" w:rsidP="00DB036C">
      <w:pPr>
        <w:spacing w:before="100" w:beforeAutospacing="1" w:after="100" w:afterAutospacing="1"/>
        <w:jc w:val="both"/>
        <w:rPr>
          <w:rFonts w:ascii="Garamond" w:hAnsi="Garamond"/>
        </w:rPr>
      </w:pPr>
      <w:r w:rsidRPr="00DB036C">
        <w:rPr>
          <w:rFonts w:ascii="Garamond" w:hAnsi="Garamond"/>
        </w:rPr>
        <w:t xml:space="preserve">Desde el punto de vista financiero, el informe de interventoría evidenció que, a la terminación del contrato, el proyecto registraba una ejecución financiera del 24,72 %, equivalente a </w:t>
      </w:r>
    </w:p>
    <w:p w14:paraId="58FACD8B" w14:textId="77777777" w:rsidR="00DB036C" w:rsidRDefault="00DB036C" w:rsidP="00DB036C">
      <w:pPr>
        <w:spacing w:before="100" w:beforeAutospacing="1" w:after="100" w:afterAutospacing="1"/>
        <w:jc w:val="both"/>
        <w:rPr>
          <w:rFonts w:ascii="Garamond" w:hAnsi="Garamond"/>
        </w:rPr>
      </w:pPr>
    </w:p>
    <w:p w14:paraId="5154272F" w14:textId="6A264390" w:rsidR="00DB036C" w:rsidRPr="00DB036C" w:rsidRDefault="00DB036C" w:rsidP="00DB036C">
      <w:pPr>
        <w:spacing w:before="100" w:beforeAutospacing="1" w:after="100" w:afterAutospacing="1"/>
        <w:jc w:val="both"/>
        <w:rPr>
          <w:rFonts w:ascii="Garamond" w:hAnsi="Garamond"/>
        </w:rPr>
      </w:pPr>
      <w:r w:rsidRPr="00DB036C">
        <w:rPr>
          <w:rFonts w:ascii="Garamond" w:hAnsi="Garamond"/>
        </w:rPr>
        <w:t>$623.288.036,43, frente a una ejecución programada del 50,45 %, correspondiente a $1.271.900.080,10, lo que representa un retraso financiero del 25,73 %, equivalente a $648.612.043,68. Se precisó igualmente que el porcentaje programado correspondía únicamente al valor consolidado de los presupuestos de veintiuna (21) viviendas cuyo alcance había sido definido durante la ejecución del proyecto, quedando excluidas las cuatro (4) viviendas anteriormente relacionadas, respecto de las cuales nunca fue posible establecer el alcance por la ausencia de la información técnica que debía suministrar el contratista.</w:t>
      </w:r>
    </w:p>
    <w:p w14:paraId="2470111D" w14:textId="77777777" w:rsidR="00DB036C" w:rsidRPr="00DB036C" w:rsidRDefault="00DB036C" w:rsidP="00DB036C">
      <w:pPr>
        <w:spacing w:before="100" w:beforeAutospacing="1" w:after="100" w:afterAutospacing="1"/>
        <w:jc w:val="both"/>
        <w:rPr>
          <w:rFonts w:ascii="Garamond" w:hAnsi="Garamond"/>
        </w:rPr>
      </w:pPr>
      <w:r w:rsidRPr="00DB036C">
        <w:rPr>
          <w:rFonts w:ascii="Garamond" w:hAnsi="Garamond"/>
        </w:rPr>
        <w:t>Los anteriores hallazgos permiten concluir que ninguna de las trece (13) viviendas cuya intervención fue iniciada alcanzó el cien por ciento (100%) de ejecución; que doce (12) de las veinticinco (25) viviendas, equivalentes al cuarenta y ocho por ciento (48 %) de las disponibles para intervención, permanecieron con una ejecución del cero por ciento (0 %); y que, debido a la falta de definición de los alcances derivados de la ausencia de la documentación técnica correspondiente a la etapa de diagnóstico y de los presupuestos ajustados que debía presentar el contratista, no fue posible comprometer aproximadamente el 49,55 % del presupuesto destinado a la obra, equivalente a $1.249.244.453,90, situación que impidió conocer oportunamente la disponibilidad real de recursos para incorporar nuevas viviendas y ejecutar integralmente el objeto contractual.</w:t>
      </w:r>
    </w:p>
    <w:p w14:paraId="41A1A412" w14:textId="77777777" w:rsidR="00DB036C" w:rsidRDefault="00DB036C" w:rsidP="00DB036C">
      <w:pPr>
        <w:spacing w:before="100" w:beforeAutospacing="1" w:after="100" w:afterAutospacing="1"/>
        <w:jc w:val="both"/>
        <w:rPr>
          <w:rFonts w:ascii="Garamond" w:hAnsi="Garamond"/>
        </w:rPr>
      </w:pPr>
      <w:r w:rsidRPr="00DB036C">
        <w:rPr>
          <w:rFonts w:ascii="Garamond" w:hAnsi="Garamond"/>
        </w:rPr>
        <w:t>La Administración considera especialmente relevante que estas conclusiones no obedecen a apreciaciones aisladas ni subjetivas de la supervisión o de la interventoría, sino que encuentran respaldo en la valoración integral y concordante de los informes técnicos, financieros, actas, registros de seguimiento y demás medios probatorios incorporados al expediente administrativo, los cuales acreditan de manera objetiva que el contratista no ejecutó íntegramente las obligaciones asumidas dentro del plazo contractual, configurándose un incumplimiento que comprometió la ejecución del objeto contratado y afectó el cumplimiento de la finalidad pública perseguida con la celebración del Contrato de Obra Pública No. COP-859-2023.</w:t>
      </w:r>
    </w:p>
    <w:p w14:paraId="1E86BA6B" w14:textId="702E773F" w:rsidR="00F353DB" w:rsidRPr="00DB036C" w:rsidRDefault="00F353DB" w:rsidP="00DB036C">
      <w:pPr>
        <w:spacing w:before="100" w:beforeAutospacing="1" w:after="100" w:afterAutospacing="1"/>
        <w:jc w:val="both"/>
        <w:rPr>
          <w:rFonts w:ascii="Garamond" w:hAnsi="Garamond"/>
        </w:rPr>
      </w:pPr>
      <w:r w:rsidRPr="00DB036C">
        <w:rPr>
          <w:rFonts w:ascii="Garamond" w:hAnsi="Garamond"/>
          <w:b/>
          <w:bCs/>
          <w:color w:val="000000" w:themeColor="text1"/>
        </w:rPr>
        <w:t>VI. ANÁLISIS Y VALORACIÓN DE LOS ARGUMENTOS DE DEFENSA PRESENTADOS POR EL CONTRATISTA</w:t>
      </w:r>
    </w:p>
    <w:p w14:paraId="7A8C63A1" w14:textId="77777777" w:rsidR="00DB036C" w:rsidRDefault="00DB036C" w:rsidP="00DB036C">
      <w:pPr>
        <w:pStyle w:val="Ttulo2"/>
        <w:jc w:val="both"/>
        <w:rPr>
          <w:rFonts w:ascii="Garamond" w:hAnsi="Garamond"/>
          <w:sz w:val="24"/>
          <w:szCs w:val="24"/>
        </w:rPr>
      </w:pPr>
    </w:p>
    <w:p w14:paraId="31AA7024" w14:textId="71202DDD" w:rsidR="00F353DB" w:rsidRPr="00DB036C" w:rsidRDefault="00F353DB" w:rsidP="00DB036C">
      <w:pPr>
        <w:pStyle w:val="Ttulo2"/>
        <w:jc w:val="both"/>
        <w:rPr>
          <w:rFonts w:ascii="Garamond" w:hAnsi="Garamond"/>
          <w:sz w:val="24"/>
          <w:szCs w:val="24"/>
        </w:rPr>
      </w:pPr>
      <w:r w:rsidRPr="00DB036C">
        <w:rPr>
          <w:rFonts w:ascii="Garamond" w:hAnsi="Garamond"/>
          <w:sz w:val="24"/>
          <w:szCs w:val="24"/>
        </w:rPr>
        <w:t>6.1. Consideraciones preliminares</w:t>
      </w:r>
    </w:p>
    <w:p w14:paraId="729CEF2D" w14:textId="77777777" w:rsidR="00F353DB" w:rsidRPr="00DB036C" w:rsidRDefault="00F353DB" w:rsidP="00DB036C">
      <w:pPr>
        <w:pStyle w:val="NormalWeb"/>
        <w:jc w:val="both"/>
        <w:rPr>
          <w:rFonts w:ascii="Garamond" w:hAnsi="Garamond"/>
        </w:rPr>
      </w:pPr>
      <w:r w:rsidRPr="00DB036C">
        <w:rPr>
          <w:rFonts w:ascii="Garamond" w:hAnsi="Garamond"/>
        </w:rPr>
        <w:t xml:space="preserve">En desarrollo del procedimiento administrativo previsto en el artículo 86 de la Ley 1474 de 2011, la </w:t>
      </w:r>
      <w:r w:rsidRPr="00DB036C">
        <w:rPr>
          <w:rFonts w:ascii="Garamond" w:hAnsi="Garamond"/>
          <w:b/>
          <w:bCs/>
        </w:rPr>
        <w:t>UNIÓN TEMPORAL BOLÍVAR</w:t>
      </w:r>
      <w:r w:rsidRPr="00DB036C">
        <w:rPr>
          <w:rFonts w:ascii="Garamond" w:hAnsi="Garamond"/>
        </w:rPr>
        <w:t xml:space="preserve"> ejerció ampliamente su derecho de defensa mediante la presentación de escritos, documentos, observaciones e intervenciones durante las audiencias públicas adelantadas por la Administración.</w:t>
      </w:r>
    </w:p>
    <w:p w14:paraId="09908E98" w14:textId="73DCFDAC" w:rsidR="00F353DB" w:rsidRPr="00DB036C" w:rsidRDefault="00F353DB" w:rsidP="00DB036C">
      <w:pPr>
        <w:pStyle w:val="NormalWeb"/>
        <w:jc w:val="both"/>
        <w:rPr>
          <w:rFonts w:ascii="Garamond" w:hAnsi="Garamond"/>
        </w:rPr>
      </w:pPr>
      <w:r w:rsidRPr="00DB036C">
        <w:rPr>
          <w:rFonts w:ascii="Garamond" w:hAnsi="Garamond"/>
        </w:rPr>
        <w:t>Todos los argumentos expuestos por el contratista fueron incorporados al expediente administrativo y objeto de análisis por parte de este Despacho, sin que pueda afirmarse que la decisión que aquí se adopta desconoce o ignora las razones expuestas por la defensa.</w:t>
      </w:r>
    </w:p>
    <w:p w14:paraId="09BB150B" w14:textId="77777777" w:rsidR="00F353DB" w:rsidRPr="003E6A25" w:rsidRDefault="00F353DB" w:rsidP="00DB036C">
      <w:pPr>
        <w:pStyle w:val="NormalWeb"/>
        <w:jc w:val="both"/>
        <w:rPr>
          <w:rFonts w:ascii="Garamond" w:hAnsi="Garamond"/>
        </w:rPr>
      </w:pPr>
      <w:r w:rsidRPr="00DB036C">
        <w:rPr>
          <w:rFonts w:ascii="Garamond" w:hAnsi="Garamond"/>
        </w:rPr>
        <w:t>No obstante, la existencia de argumentos defensivos no implica, por sí misma, la desvirtuación de los hechos objeto del procedimiento, pues corresponde</w:t>
      </w:r>
      <w:r w:rsidRPr="003E6A25">
        <w:rPr>
          <w:rFonts w:ascii="Garamond" w:hAnsi="Garamond"/>
        </w:rPr>
        <w:t xml:space="preserve"> a la Administración confrontar dichas manifestaciones con el conjunto del material probatorio recaudado y establecer si tienen la entidad suficiente para excluir la configuración del incumplimiento contractual.</w:t>
      </w:r>
    </w:p>
    <w:p w14:paraId="15F91856" w14:textId="77777777" w:rsidR="00252F0C" w:rsidRDefault="00F353DB" w:rsidP="00252F0C">
      <w:pPr>
        <w:pStyle w:val="NormalWeb"/>
        <w:jc w:val="both"/>
        <w:rPr>
          <w:rFonts w:ascii="Garamond" w:hAnsi="Garamond"/>
        </w:rPr>
      </w:pPr>
      <w:r w:rsidRPr="003E6A25">
        <w:rPr>
          <w:rFonts w:ascii="Garamond" w:hAnsi="Garamond"/>
        </w:rPr>
        <w:t>En consecuencia, el análisis que se desarrolla a continuación responde a una valoración integral de los argumentos expuestos por el contratista, apreciados de manera conjunta con las pruebas documentales, técnicas y testimoniales que obran en el expediente administrativo.</w:t>
      </w:r>
    </w:p>
    <w:p w14:paraId="50B007A2" w14:textId="77777777" w:rsidR="004E5186" w:rsidRDefault="00F353DB" w:rsidP="004E5186">
      <w:pPr>
        <w:pStyle w:val="NormalWeb"/>
        <w:jc w:val="both"/>
        <w:rPr>
          <w:rFonts w:ascii="Garamond" w:hAnsi="Garamond"/>
          <w:b/>
          <w:bCs/>
          <w:color w:val="000000" w:themeColor="text1"/>
        </w:rPr>
      </w:pPr>
      <w:r w:rsidRPr="003E6A25">
        <w:rPr>
          <w:rFonts w:ascii="Garamond" w:hAnsi="Garamond"/>
          <w:b/>
          <w:bCs/>
          <w:color w:val="000000" w:themeColor="text1"/>
        </w:rPr>
        <w:t>6.2. Primer eje de defensa</w:t>
      </w:r>
    </w:p>
    <w:p w14:paraId="75755991" w14:textId="18460164" w:rsidR="00F353DB" w:rsidRPr="004E5186" w:rsidRDefault="00F353DB" w:rsidP="004E5186">
      <w:pPr>
        <w:pStyle w:val="NormalWeb"/>
        <w:jc w:val="both"/>
        <w:rPr>
          <w:rFonts w:ascii="Garamond" w:hAnsi="Garamond"/>
          <w:b/>
          <w:bCs/>
        </w:rPr>
      </w:pPr>
      <w:r w:rsidRPr="004E5186">
        <w:rPr>
          <w:rFonts w:ascii="Garamond" w:hAnsi="Garamond"/>
          <w:b/>
          <w:bCs/>
        </w:rPr>
        <w:t>El contratista sostiene que ejecutó la totalidad de las trece (13) viviendas intervenidas</w:t>
      </w:r>
    </w:p>
    <w:p w14:paraId="42DCE709" w14:textId="77777777" w:rsidR="00DB036C" w:rsidRDefault="00F353DB" w:rsidP="00C46622">
      <w:pPr>
        <w:pStyle w:val="NormalWeb"/>
        <w:jc w:val="both"/>
        <w:rPr>
          <w:rFonts w:ascii="Garamond" w:hAnsi="Garamond"/>
        </w:rPr>
      </w:pPr>
      <w:r w:rsidRPr="003E6A25">
        <w:rPr>
          <w:rFonts w:ascii="Garamond" w:hAnsi="Garamond"/>
        </w:rPr>
        <w:t xml:space="preserve">Uno de los principales argumentos expuestos por la </w:t>
      </w:r>
      <w:r w:rsidRPr="003E6A25">
        <w:rPr>
          <w:rFonts w:ascii="Garamond" w:hAnsi="Garamond"/>
          <w:b/>
          <w:bCs/>
        </w:rPr>
        <w:t>UNIÓN TEMPORAL BOLÍVAR</w:t>
      </w:r>
      <w:r w:rsidRPr="003E6A25">
        <w:rPr>
          <w:rFonts w:ascii="Garamond" w:hAnsi="Garamond"/>
        </w:rPr>
        <w:t xml:space="preserve"> consiste en afirmar que las trece (13) viviendas sobre las cuales inició actividades fueron </w:t>
      </w:r>
    </w:p>
    <w:p w14:paraId="31FA0A1C" w14:textId="32BAC9CF" w:rsidR="00F353DB" w:rsidRPr="003E6A25" w:rsidRDefault="00F353DB" w:rsidP="00C46622">
      <w:pPr>
        <w:pStyle w:val="NormalWeb"/>
        <w:jc w:val="both"/>
        <w:rPr>
          <w:rFonts w:ascii="Garamond" w:hAnsi="Garamond"/>
        </w:rPr>
      </w:pPr>
      <w:r w:rsidRPr="003E6A25">
        <w:rPr>
          <w:rFonts w:ascii="Garamond" w:hAnsi="Garamond"/>
        </w:rPr>
        <w:t>ejecutadas en su totalidad y que la falta de reci</w:t>
      </w:r>
      <w:r w:rsidR="00907BE8" w:rsidRPr="003E6A25">
        <w:rPr>
          <w:rFonts w:ascii="Garamond" w:hAnsi="Garamond"/>
        </w:rPr>
        <w:t>bido</w:t>
      </w:r>
      <w:r w:rsidRPr="003E6A25">
        <w:rPr>
          <w:rFonts w:ascii="Garamond" w:hAnsi="Garamond"/>
        </w:rPr>
        <w:t xml:space="preserve"> formal obedeció exclusivamente a la ausencia de la interventoría y de la supervisión al momento de la entrega.</w:t>
      </w:r>
    </w:p>
    <w:p w14:paraId="6062A684" w14:textId="77777777" w:rsidR="00F353DB" w:rsidRPr="003E6A25" w:rsidRDefault="00F353DB" w:rsidP="00C46622">
      <w:pPr>
        <w:pStyle w:val="NormalWeb"/>
        <w:jc w:val="both"/>
        <w:rPr>
          <w:rFonts w:ascii="Garamond" w:hAnsi="Garamond"/>
        </w:rPr>
      </w:pPr>
      <w:r w:rsidRPr="003E6A25">
        <w:rPr>
          <w:rFonts w:ascii="Garamond" w:hAnsi="Garamond"/>
        </w:rPr>
        <w:t>Incluso manifestó que procedió a suscribir actas directamente con algunos propietarios como mecanismo para acreditar la terminación de las intervenciones ejecutadas.</w:t>
      </w:r>
    </w:p>
    <w:p w14:paraId="7A158659" w14:textId="77777777" w:rsidR="00DB036C" w:rsidRDefault="00DB036C" w:rsidP="00C46622">
      <w:pPr>
        <w:pStyle w:val="Ttulo3"/>
        <w:jc w:val="both"/>
        <w:rPr>
          <w:rFonts w:ascii="Garamond" w:hAnsi="Garamond"/>
          <w:b/>
          <w:bCs/>
          <w:color w:val="000000" w:themeColor="text1"/>
          <w:szCs w:val="24"/>
        </w:rPr>
      </w:pPr>
    </w:p>
    <w:p w14:paraId="439B07B2" w14:textId="2F982022" w:rsidR="00F353DB" w:rsidRPr="003E6A25" w:rsidRDefault="00F353DB" w:rsidP="00C46622">
      <w:pPr>
        <w:pStyle w:val="Ttulo3"/>
        <w:jc w:val="both"/>
        <w:rPr>
          <w:rFonts w:ascii="Garamond" w:hAnsi="Garamond"/>
          <w:b/>
          <w:bCs/>
          <w:color w:val="000000" w:themeColor="text1"/>
          <w:szCs w:val="24"/>
        </w:rPr>
      </w:pPr>
      <w:r w:rsidRPr="003E6A25">
        <w:rPr>
          <w:rFonts w:ascii="Garamond" w:hAnsi="Garamond"/>
          <w:b/>
          <w:bCs/>
          <w:color w:val="000000" w:themeColor="text1"/>
          <w:szCs w:val="24"/>
        </w:rPr>
        <w:t>Valoración de la Administración</w:t>
      </w:r>
    </w:p>
    <w:p w14:paraId="2D83072A" w14:textId="77777777" w:rsidR="00F353DB" w:rsidRPr="003E6A25" w:rsidRDefault="00F353DB" w:rsidP="00C46622">
      <w:pPr>
        <w:pStyle w:val="NormalWeb"/>
        <w:jc w:val="both"/>
        <w:rPr>
          <w:rFonts w:ascii="Garamond" w:hAnsi="Garamond"/>
        </w:rPr>
      </w:pPr>
      <w:r w:rsidRPr="003E6A25">
        <w:rPr>
          <w:rFonts w:ascii="Garamond" w:hAnsi="Garamond"/>
        </w:rPr>
        <w:t>Este Despacho considera que dicho argumento no tiene la entidad suficiente para desvirtuar los hechos acreditados dentro del expediente.</w:t>
      </w:r>
    </w:p>
    <w:p w14:paraId="16B6A563" w14:textId="3D4D5D16" w:rsidR="00F353DB" w:rsidRPr="003E6A25" w:rsidRDefault="00F353DB" w:rsidP="00C46622">
      <w:pPr>
        <w:pStyle w:val="NormalWeb"/>
        <w:jc w:val="both"/>
        <w:rPr>
          <w:rFonts w:ascii="Garamond" w:hAnsi="Garamond"/>
        </w:rPr>
      </w:pPr>
      <w:r w:rsidRPr="003E6A25">
        <w:rPr>
          <w:rFonts w:ascii="Garamond" w:hAnsi="Garamond"/>
        </w:rPr>
        <w:t>En primer lugar, porque el cumplimiento de un contrato estatal no se acredita exclusivamente mediante manifestaciones del contratista ni mediante documentos elaborados unilateralmente, sino a través de los mecanismos de verificación previstos en el propio contrato, dentro de los cuales adquieren especial relevancia la supervisión, la interventoría y el recibo formal de las obras por parte de la Entidad.</w:t>
      </w:r>
    </w:p>
    <w:p w14:paraId="77F3733F" w14:textId="77777777" w:rsidR="00F353DB" w:rsidRPr="003E6A25" w:rsidRDefault="00F353DB" w:rsidP="00C46622">
      <w:pPr>
        <w:pStyle w:val="NormalWeb"/>
        <w:jc w:val="both"/>
        <w:rPr>
          <w:rFonts w:ascii="Garamond" w:hAnsi="Garamond"/>
        </w:rPr>
      </w:pPr>
      <w:r w:rsidRPr="003E6A25">
        <w:rPr>
          <w:rFonts w:ascii="Garamond" w:hAnsi="Garamond"/>
        </w:rPr>
        <w:t>En segundo lugar, las actas suscritas con particulares no sustituyen las competencias asignadas legal y contractualmente a la interventoría y a la supervisión, quienes son los encargados de verificar el cumplimiento técnico, administrativo y contractual de las obligaciones asumidas por el contratista.</w:t>
      </w:r>
    </w:p>
    <w:p w14:paraId="123E5089" w14:textId="5BF8E277" w:rsidR="00252F0C" w:rsidRPr="00BD7AA3" w:rsidRDefault="00F353DB" w:rsidP="00BD7AA3">
      <w:pPr>
        <w:pStyle w:val="NormalWeb"/>
        <w:jc w:val="both"/>
        <w:rPr>
          <w:rFonts w:ascii="Garamond" w:hAnsi="Garamond"/>
        </w:rPr>
      </w:pPr>
      <w:r w:rsidRPr="003E6A25">
        <w:rPr>
          <w:rFonts w:ascii="Garamond" w:hAnsi="Garamond"/>
        </w:rPr>
        <w:t>En consecuencia, aun cuando dichas actas constituyen un elemento de juicio que fue incorporado y valorado dentro del expediente administrativo, las mismas no desvirtúan las conclusiones obtenidas a partir de los informes técnicos, de las visitas de inspección, de los registros fotográficos y de las demás pruebas practicadas durante el procedimiento.</w:t>
      </w:r>
    </w:p>
    <w:p w14:paraId="60219415" w14:textId="74C3AFDB" w:rsidR="00F353DB" w:rsidRPr="003E6A25" w:rsidRDefault="00F353DB" w:rsidP="00C46622">
      <w:pPr>
        <w:pStyle w:val="Ttulo1"/>
        <w:jc w:val="both"/>
        <w:rPr>
          <w:rFonts w:ascii="Garamond" w:hAnsi="Garamond"/>
          <w:b/>
          <w:bCs/>
          <w:sz w:val="24"/>
          <w:szCs w:val="24"/>
        </w:rPr>
      </w:pPr>
      <w:r w:rsidRPr="003E6A25">
        <w:rPr>
          <w:rFonts w:ascii="Garamond" w:hAnsi="Garamond"/>
          <w:b/>
          <w:bCs/>
          <w:color w:val="000000" w:themeColor="text1"/>
          <w:sz w:val="24"/>
          <w:szCs w:val="24"/>
        </w:rPr>
        <w:t>6.3. Segundo eje de defensa</w:t>
      </w:r>
    </w:p>
    <w:p w14:paraId="033ACC77"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El contratista afirma que ejecutó actividades adicionales no previstas inicialmente</w:t>
      </w:r>
    </w:p>
    <w:p w14:paraId="01C294C0" w14:textId="77777777" w:rsidR="00F353DB" w:rsidRPr="003E6A25" w:rsidRDefault="00F353DB" w:rsidP="00C46622">
      <w:pPr>
        <w:pStyle w:val="NormalWeb"/>
        <w:jc w:val="both"/>
        <w:rPr>
          <w:rFonts w:ascii="Garamond" w:hAnsi="Garamond"/>
        </w:rPr>
      </w:pPr>
      <w:r w:rsidRPr="003E6A25">
        <w:rPr>
          <w:rFonts w:ascii="Garamond" w:hAnsi="Garamond"/>
        </w:rPr>
        <w:t>El contratista sostuvo igualmente que durante la ejecución del contrato desarrolló actividades adicionales solicitadas por la interventoría y la supervisión, circunstancia que, a su juicio, explica los retrasos presentados en la ejecución de las obras y el incremento de los tiempos inicialmente previstos.</w:t>
      </w:r>
    </w:p>
    <w:p w14:paraId="15CC27A0" w14:textId="77777777" w:rsidR="00DB036C" w:rsidRDefault="00DB036C" w:rsidP="00C46622">
      <w:pPr>
        <w:pStyle w:val="Ttulo3"/>
        <w:jc w:val="both"/>
        <w:rPr>
          <w:rFonts w:ascii="Garamond" w:hAnsi="Garamond"/>
          <w:b/>
          <w:bCs/>
          <w:color w:val="000000" w:themeColor="text1"/>
          <w:szCs w:val="24"/>
        </w:rPr>
      </w:pPr>
    </w:p>
    <w:p w14:paraId="20D140FA" w14:textId="26D007E8" w:rsidR="00F353DB" w:rsidRPr="003E6A25" w:rsidRDefault="00F353DB" w:rsidP="00C46622">
      <w:pPr>
        <w:pStyle w:val="Ttulo3"/>
        <w:jc w:val="both"/>
        <w:rPr>
          <w:rFonts w:ascii="Garamond" w:hAnsi="Garamond"/>
          <w:b/>
          <w:bCs/>
          <w:color w:val="000000" w:themeColor="text1"/>
          <w:szCs w:val="24"/>
        </w:rPr>
      </w:pPr>
      <w:r w:rsidRPr="003E6A25">
        <w:rPr>
          <w:rFonts w:ascii="Garamond" w:hAnsi="Garamond"/>
          <w:b/>
          <w:bCs/>
          <w:color w:val="000000" w:themeColor="text1"/>
          <w:szCs w:val="24"/>
        </w:rPr>
        <w:t>Valoración de la Administración</w:t>
      </w:r>
    </w:p>
    <w:p w14:paraId="16B67C47" w14:textId="77777777" w:rsidR="00F353DB" w:rsidRPr="003E6A25" w:rsidRDefault="00F353DB" w:rsidP="00C46622">
      <w:pPr>
        <w:pStyle w:val="NormalWeb"/>
        <w:jc w:val="both"/>
        <w:rPr>
          <w:rFonts w:ascii="Garamond" w:hAnsi="Garamond"/>
        </w:rPr>
      </w:pPr>
      <w:r w:rsidRPr="003E6A25">
        <w:rPr>
          <w:rFonts w:ascii="Garamond" w:hAnsi="Garamond"/>
        </w:rPr>
        <w:t>La Administración reconoce que durante la ejecución de los contratos de obra pública pueden presentarse situaciones técnicas que hagan necesaria la realización de actividades complementarias.</w:t>
      </w:r>
    </w:p>
    <w:p w14:paraId="71CA6A3C" w14:textId="77777777" w:rsidR="00F353DB" w:rsidRPr="003E6A25" w:rsidRDefault="00F353DB" w:rsidP="00C46622">
      <w:pPr>
        <w:pStyle w:val="NormalWeb"/>
        <w:jc w:val="both"/>
        <w:rPr>
          <w:rFonts w:ascii="Garamond" w:hAnsi="Garamond"/>
        </w:rPr>
      </w:pPr>
      <w:r w:rsidRPr="003E6A25">
        <w:rPr>
          <w:rFonts w:ascii="Garamond" w:hAnsi="Garamond"/>
        </w:rPr>
        <w:t>Sin embargo, dichas circunstancias únicamente producen efectos jurídicos cuando son formalmente autorizadas por la Entidad mediante los mecanismos previstos en la legislación contractual y en las cláusulas del contrato.</w:t>
      </w:r>
    </w:p>
    <w:p w14:paraId="7D5A73B5" w14:textId="69460628" w:rsidR="00F353DB" w:rsidRPr="003E6A25" w:rsidRDefault="00F353DB" w:rsidP="00C46622">
      <w:pPr>
        <w:pStyle w:val="NormalWeb"/>
        <w:jc w:val="both"/>
        <w:rPr>
          <w:rFonts w:ascii="Garamond" w:hAnsi="Garamond"/>
        </w:rPr>
      </w:pPr>
      <w:r w:rsidRPr="003E6A25">
        <w:rPr>
          <w:rFonts w:ascii="Garamond" w:hAnsi="Garamond"/>
        </w:rPr>
        <w:t>En el presente caso no obra prueba suficiente que permita concluir que las actividades invocadas por el contratista modificaron válidamente las obligaciones originalmente asumidas ni que hubiesen alterado el plazo contractual en los términos legalmente exigidos.</w:t>
      </w:r>
    </w:p>
    <w:p w14:paraId="1215E6F6" w14:textId="77777777" w:rsidR="00F353DB" w:rsidRPr="003E6A25" w:rsidRDefault="00F353DB" w:rsidP="00C46622">
      <w:pPr>
        <w:pStyle w:val="NormalWeb"/>
        <w:jc w:val="both"/>
        <w:rPr>
          <w:rFonts w:ascii="Garamond" w:hAnsi="Garamond"/>
        </w:rPr>
      </w:pPr>
      <w:r w:rsidRPr="003E6A25">
        <w:rPr>
          <w:rFonts w:ascii="Garamond" w:hAnsi="Garamond"/>
        </w:rPr>
        <w:t>Por el contrario, del análisis del expediente se observa que, aun considerando las circunstancias expuestas por el contratista, persistió un atraso significativo frente a la programación contractual y permaneció pendiente de ejecución una parte sustancial del objeto contratado al vencimiento del plazo.</w:t>
      </w:r>
    </w:p>
    <w:p w14:paraId="14A05E8E" w14:textId="77777777" w:rsidR="00252F0C" w:rsidRDefault="00F353DB" w:rsidP="00252F0C">
      <w:pPr>
        <w:pStyle w:val="NormalWeb"/>
        <w:jc w:val="both"/>
        <w:rPr>
          <w:rFonts w:ascii="Garamond" w:hAnsi="Garamond"/>
        </w:rPr>
      </w:pPr>
      <w:r w:rsidRPr="003E6A25">
        <w:rPr>
          <w:rFonts w:ascii="Garamond" w:hAnsi="Garamond"/>
        </w:rPr>
        <w:t>En consecuencia, este argumento tampoco desvirtúa el incumplimiento objeto de análisis.</w:t>
      </w:r>
    </w:p>
    <w:p w14:paraId="133F906E" w14:textId="6771D25E" w:rsidR="00F353DB" w:rsidRPr="00252F0C" w:rsidRDefault="00F353DB" w:rsidP="00252F0C">
      <w:pPr>
        <w:pStyle w:val="NormalWeb"/>
        <w:jc w:val="both"/>
        <w:rPr>
          <w:rFonts w:ascii="Garamond" w:hAnsi="Garamond"/>
        </w:rPr>
      </w:pPr>
      <w:r w:rsidRPr="003E6A25">
        <w:rPr>
          <w:rFonts w:ascii="Garamond" w:hAnsi="Garamond"/>
          <w:b/>
          <w:bCs/>
        </w:rPr>
        <w:t>6.4. Tercer eje de defensa</w:t>
      </w:r>
    </w:p>
    <w:p w14:paraId="08947FAA" w14:textId="67583178" w:rsidR="00F353DB" w:rsidRPr="003E6A25" w:rsidRDefault="00F353DB" w:rsidP="00C46622">
      <w:pPr>
        <w:pStyle w:val="Ttulo2"/>
        <w:jc w:val="both"/>
        <w:rPr>
          <w:rFonts w:ascii="Garamond" w:hAnsi="Garamond"/>
          <w:sz w:val="24"/>
          <w:szCs w:val="24"/>
        </w:rPr>
      </w:pPr>
      <w:r w:rsidRPr="003E6A25">
        <w:rPr>
          <w:rFonts w:ascii="Garamond" w:hAnsi="Garamond"/>
          <w:sz w:val="24"/>
          <w:szCs w:val="24"/>
        </w:rPr>
        <w:t>El contratista atribuye la responsabilidad del atraso a la interventoría y a la supervisión</w:t>
      </w:r>
    </w:p>
    <w:p w14:paraId="43F25CF9" w14:textId="77777777" w:rsidR="00F353DB" w:rsidRPr="003E6A25" w:rsidRDefault="00F353DB" w:rsidP="00C46622">
      <w:pPr>
        <w:pStyle w:val="NormalWeb"/>
        <w:jc w:val="both"/>
        <w:rPr>
          <w:rFonts w:ascii="Garamond" w:hAnsi="Garamond"/>
        </w:rPr>
      </w:pPr>
      <w:r w:rsidRPr="003E6A25">
        <w:rPr>
          <w:rFonts w:ascii="Garamond" w:hAnsi="Garamond"/>
        </w:rPr>
        <w:t>Dentro de los descargos también se afirmó que algunas decisiones adoptadas por la interventoría y la supervisión incidieron negativamente en el desarrollo de las obras, afectando la programación inicialmente prevista.</w:t>
      </w:r>
    </w:p>
    <w:p w14:paraId="275C86A1" w14:textId="77777777" w:rsidR="00DB036C" w:rsidRDefault="00DB036C" w:rsidP="00C46622">
      <w:pPr>
        <w:pStyle w:val="Ttulo3"/>
        <w:jc w:val="both"/>
        <w:rPr>
          <w:rFonts w:ascii="Garamond" w:hAnsi="Garamond"/>
          <w:b/>
          <w:bCs/>
          <w:color w:val="000000" w:themeColor="text1"/>
          <w:szCs w:val="24"/>
        </w:rPr>
      </w:pPr>
    </w:p>
    <w:p w14:paraId="43E5897C" w14:textId="59E0FD26" w:rsidR="00F353DB" w:rsidRPr="003E6A25" w:rsidRDefault="00F353DB" w:rsidP="00C46622">
      <w:pPr>
        <w:pStyle w:val="Ttulo3"/>
        <w:jc w:val="both"/>
        <w:rPr>
          <w:rFonts w:ascii="Garamond" w:hAnsi="Garamond"/>
          <w:b/>
          <w:bCs/>
          <w:color w:val="000000" w:themeColor="text1"/>
          <w:szCs w:val="24"/>
        </w:rPr>
      </w:pPr>
      <w:r w:rsidRPr="003E6A25">
        <w:rPr>
          <w:rFonts w:ascii="Garamond" w:hAnsi="Garamond"/>
          <w:b/>
          <w:bCs/>
          <w:color w:val="000000" w:themeColor="text1"/>
          <w:szCs w:val="24"/>
        </w:rPr>
        <w:t>Valoración de la Administración</w:t>
      </w:r>
    </w:p>
    <w:p w14:paraId="57D82965" w14:textId="77777777" w:rsidR="00F353DB" w:rsidRPr="003E6A25" w:rsidRDefault="00F353DB" w:rsidP="00C46622">
      <w:pPr>
        <w:pStyle w:val="NormalWeb"/>
        <w:jc w:val="both"/>
        <w:rPr>
          <w:rFonts w:ascii="Garamond" w:hAnsi="Garamond"/>
        </w:rPr>
      </w:pPr>
      <w:r w:rsidRPr="003E6A25">
        <w:rPr>
          <w:rFonts w:ascii="Garamond" w:hAnsi="Garamond"/>
        </w:rPr>
        <w:t>La Administración observa que durante la ejecución contractual la interventoría y la supervisión ejercieron las funciones de vigilancia y control previstas en la Ley 80 de 1993 y en el contrato, formulando observaciones, recomendaciones y requerimientos encaminados a garantizar la correcta ejecución del objeto contractual.</w:t>
      </w:r>
    </w:p>
    <w:p w14:paraId="1AB8EF3F" w14:textId="77777777" w:rsidR="00F353DB" w:rsidRPr="003E6A25" w:rsidRDefault="00F353DB" w:rsidP="00C46622">
      <w:pPr>
        <w:pStyle w:val="NormalWeb"/>
        <w:jc w:val="both"/>
        <w:rPr>
          <w:rFonts w:ascii="Garamond" w:hAnsi="Garamond"/>
        </w:rPr>
      </w:pPr>
      <w:r w:rsidRPr="003E6A25">
        <w:rPr>
          <w:rFonts w:ascii="Garamond" w:hAnsi="Garamond"/>
        </w:rPr>
        <w:t>Las pruebas recaudadas no permiten establecer que dichas actuaciones constituyeran la causa determinante del incumplimiento advertido.</w:t>
      </w:r>
    </w:p>
    <w:p w14:paraId="4A2CFA92" w14:textId="77777777" w:rsidR="00252F0C" w:rsidRDefault="00F353DB" w:rsidP="00C46622">
      <w:pPr>
        <w:pStyle w:val="NormalWeb"/>
        <w:jc w:val="both"/>
        <w:rPr>
          <w:rFonts w:ascii="Garamond" w:hAnsi="Garamond"/>
        </w:rPr>
      </w:pPr>
      <w:r w:rsidRPr="003E6A25">
        <w:rPr>
          <w:rFonts w:ascii="Garamond" w:hAnsi="Garamond"/>
        </w:rPr>
        <w:t>Por el contrario, los informes técnicos evidencian que los requerimientos formulados por la interventoría respondieron precisamente a la necesidad de corregir deficiencias advertidas durante la ejecución de las obras.</w:t>
      </w:r>
    </w:p>
    <w:p w14:paraId="104CBAA6" w14:textId="0732FD53" w:rsidR="00F353DB" w:rsidRPr="003E6A25" w:rsidRDefault="00F353DB" w:rsidP="00C46622">
      <w:pPr>
        <w:pStyle w:val="NormalWeb"/>
        <w:jc w:val="both"/>
        <w:rPr>
          <w:rFonts w:ascii="Garamond" w:hAnsi="Garamond"/>
        </w:rPr>
      </w:pPr>
      <w:r w:rsidRPr="003E6A25">
        <w:rPr>
          <w:rFonts w:ascii="Garamond" w:hAnsi="Garamond"/>
        </w:rPr>
        <w:t>Debe recordarse que la dirección técnica y administrativa del contrato corresponde al contratista, quien asume los riesgos propios de la ejecución y conserva la responsabilidad de organizar los recursos humanos, técnicos y financieros necesarios para cumplir oportunamente las obligaciones asumidas.</w:t>
      </w:r>
    </w:p>
    <w:p w14:paraId="45FC1B41" w14:textId="2F6B08BB" w:rsidR="00F353DB" w:rsidRPr="003E6A25" w:rsidRDefault="00F353DB" w:rsidP="00907BE8">
      <w:pPr>
        <w:pStyle w:val="NormalWeb"/>
        <w:jc w:val="both"/>
        <w:rPr>
          <w:rFonts w:ascii="Garamond" w:hAnsi="Garamond"/>
        </w:rPr>
      </w:pPr>
      <w:r w:rsidRPr="003E6A25">
        <w:rPr>
          <w:rFonts w:ascii="Garamond" w:hAnsi="Garamond"/>
        </w:rPr>
        <w:t>En consecuencia, aun cuando durante la ejecución pudieron presentarse diferencias técnicas entre las partes, ello no excluye la responsabilidad contractual derivada de la inejecución del objeto dentro del plazo pactado.</w:t>
      </w:r>
    </w:p>
    <w:p w14:paraId="73AE73C9" w14:textId="21BB2B3A"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6.5. Conclusión del análisis de los descargos</w:t>
      </w:r>
    </w:p>
    <w:p w14:paraId="069CEACC" w14:textId="58330F2C" w:rsidR="00F353DB" w:rsidRPr="003E6A25" w:rsidRDefault="00F353DB" w:rsidP="00C46622">
      <w:pPr>
        <w:pStyle w:val="NormalWeb"/>
        <w:jc w:val="both"/>
        <w:rPr>
          <w:rFonts w:ascii="Garamond" w:hAnsi="Garamond"/>
        </w:rPr>
      </w:pPr>
      <w:r w:rsidRPr="003E6A25">
        <w:rPr>
          <w:rFonts w:ascii="Garamond" w:hAnsi="Garamond"/>
        </w:rPr>
        <w:t xml:space="preserve">Luego de valorar integralmente las explicaciones presentadas por la </w:t>
      </w:r>
      <w:r w:rsidRPr="003E6A25">
        <w:rPr>
          <w:rFonts w:ascii="Garamond" w:hAnsi="Garamond"/>
          <w:b/>
          <w:bCs/>
        </w:rPr>
        <w:t>UNIÓN TEMPORAL BOLÍVAR</w:t>
      </w:r>
      <w:r w:rsidRPr="003E6A25">
        <w:rPr>
          <w:rFonts w:ascii="Garamond" w:hAnsi="Garamond"/>
        </w:rPr>
        <w:t xml:space="preserve"> y confrontarlas con el conjunto del material probatorio obrante en el expediente, este Despacho concluye que los argumentos defensivos carecen de la entidad suficiente para desvirtuar los hechos acreditados durante la actuación administrativa.</w:t>
      </w:r>
    </w:p>
    <w:p w14:paraId="21A83930" w14:textId="77777777" w:rsidR="00DB036C" w:rsidRDefault="00F353DB" w:rsidP="00C46622">
      <w:pPr>
        <w:pStyle w:val="NormalWeb"/>
        <w:jc w:val="both"/>
        <w:rPr>
          <w:rFonts w:ascii="Garamond" w:hAnsi="Garamond"/>
        </w:rPr>
      </w:pPr>
      <w:r w:rsidRPr="003E6A25">
        <w:rPr>
          <w:rFonts w:ascii="Garamond" w:hAnsi="Garamond"/>
        </w:rPr>
        <w:t xml:space="preserve">Las manifestaciones del contratista fueron analizadas de manera individual y conjunta; sin embargo, ninguna de ellas logra explicar razonablemente las causas por las cuales una parte significativa del objeto contractual permaneció sin ejecutar al vencimiento del plazo ni demuestra </w:t>
      </w:r>
    </w:p>
    <w:p w14:paraId="0BA7D4F8" w14:textId="77777777" w:rsidR="00DB036C" w:rsidRDefault="00DB036C" w:rsidP="00C46622">
      <w:pPr>
        <w:pStyle w:val="NormalWeb"/>
        <w:jc w:val="both"/>
        <w:rPr>
          <w:rFonts w:ascii="Garamond" w:hAnsi="Garamond"/>
        </w:rPr>
      </w:pPr>
    </w:p>
    <w:p w14:paraId="4CE8427D" w14:textId="4DA69B7C" w:rsidR="00F353DB" w:rsidRPr="003E6A25" w:rsidRDefault="00F353DB" w:rsidP="00C46622">
      <w:pPr>
        <w:pStyle w:val="NormalWeb"/>
        <w:jc w:val="both"/>
        <w:rPr>
          <w:rFonts w:ascii="Garamond" w:hAnsi="Garamond"/>
        </w:rPr>
      </w:pPr>
      <w:r w:rsidRPr="003E6A25">
        <w:rPr>
          <w:rFonts w:ascii="Garamond" w:hAnsi="Garamond"/>
        </w:rPr>
        <w:t>la existencia de circunstancias eximentes de responsabilidad que justifiquen el incumplimiento verificado.</w:t>
      </w:r>
    </w:p>
    <w:p w14:paraId="054B9FF6" w14:textId="270FDB46" w:rsidR="00F353DB" w:rsidRPr="003E6A25" w:rsidRDefault="00F353DB" w:rsidP="00C46622">
      <w:pPr>
        <w:pStyle w:val="NormalWeb"/>
        <w:jc w:val="both"/>
        <w:rPr>
          <w:rFonts w:ascii="Garamond" w:hAnsi="Garamond"/>
        </w:rPr>
      </w:pPr>
      <w:r w:rsidRPr="003E6A25">
        <w:rPr>
          <w:rFonts w:ascii="Garamond" w:hAnsi="Garamond"/>
        </w:rPr>
        <w:t xml:space="preserve">En consecuencia, el acervo probatorio permite mantener incólume la conclusión según la cual la </w:t>
      </w:r>
      <w:r w:rsidRPr="003E6A25">
        <w:rPr>
          <w:rFonts w:ascii="Garamond" w:hAnsi="Garamond"/>
          <w:b/>
          <w:bCs/>
        </w:rPr>
        <w:t>UNIÓN TEMPORAL BOLÍVAR</w:t>
      </w:r>
      <w:r w:rsidRPr="003E6A25">
        <w:rPr>
          <w:rFonts w:ascii="Garamond" w:hAnsi="Garamond"/>
        </w:rPr>
        <w:t xml:space="preserve"> incumplió las obligaciones esenciales derivadas del Contrato de Obra Pública No. COP-859-2023.</w:t>
      </w:r>
    </w:p>
    <w:p w14:paraId="04488C79" w14:textId="77777777" w:rsidR="00F353DB" w:rsidRPr="003E6A25" w:rsidRDefault="00F353DB" w:rsidP="00C46622">
      <w:pPr>
        <w:pStyle w:val="Ttulo1"/>
        <w:jc w:val="both"/>
        <w:rPr>
          <w:rFonts w:ascii="Garamond" w:hAnsi="Garamond"/>
          <w:b/>
          <w:bCs/>
          <w:color w:val="auto"/>
          <w:sz w:val="24"/>
          <w:szCs w:val="24"/>
        </w:rPr>
      </w:pPr>
      <w:r w:rsidRPr="003E6A25">
        <w:rPr>
          <w:rFonts w:ascii="Garamond" w:hAnsi="Garamond"/>
          <w:b/>
          <w:bCs/>
          <w:color w:val="auto"/>
          <w:sz w:val="24"/>
          <w:szCs w:val="24"/>
        </w:rPr>
        <w:t>VII. PROBLEMA JURÍDICO</w:t>
      </w:r>
    </w:p>
    <w:p w14:paraId="6E41ADC2" w14:textId="67D75BFC" w:rsidR="00F353DB" w:rsidRPr="003E6A25" w:rsidRDefault="00F353DB" w:rsidP="00C46622">
      <w:pPr>
        <w:pStyle w:val="NormalWeb"/>
        <w:jc w:val="both"/>
        <w:rPr>
          <w:rFonts w:ascii="Garamond" w:hAnsi="Garamond"/>
        </w:rPr>
      </w:pPr>
      <w:r w:rsidRPr="003E6A25">
        <w:rPr>
          <w:rFonts w:ascii="Garamond" w:hAnsi="Garamond"/>
        </w:rPr>
        <w:t xml:space="preserve">Corresponde al Fondo de Desarrollo Local de Ciudad Bolívar determinar, con fundamento en el acervo probatorio recaudado durante la ejecución contractual y en el procedimiento administrativo adelantado conforme al artículo 86 de la Ley 1474 de 2011, si la </w:t>
      </w:r>
      <w:r w:rsidRPr="003E6A25">
        <w:rPr>
          <w:rStyle w:val="Textoennegrita"/>
          <w:rFonts w:ascii="Garamond" w:hAnsi="Garamond"/>
        </w:rPr>
        <w:t>UNIÓN TEMPORAL BOLÍVAR</w:t>
      </w:r>
      <w:r w:rsidRPr="003E6A25">
        <w:rPr>
          <w:rFonts w:ascii="Garamond" w:hAnsi="Garamond"/>
        </w:rPr>
        <w:t xml:space="preserve"> incumplió las obligaciones esenciales derivadas del Contrato de Obra Pública </w:t>
      </w:r>
      <w:r w:rsidRPr="006245F0">
        <w:rPr>
          <w:rFonts w:ascii="Garamond" w:hAnsi="Garamond"/>
          <w:b/>
          <w:bCs/>
        </w:rPr>
        <w:t>No. COP-859-2023</w:t>
      </w:r>
      <w:r w:rsidRPr="003E6A25">
        <w:rPr>
          <w:rFonts w:ascii="Garamond" w:hAnsi="Garamond"/>
        </w:rPr>
        <w:t xml:space="preserve"> y, de ser así, establecer si dicho incumplimiento resulta jurídicamente imputable al contratista y si existen los presupuestos legales y contractuales para declarar el incumplimiento, hacer efectiva la cláusula penal pecuniaria y el amparo de cumplimiento de la garantía única.</w:t>
      </w:r>
    </w:p>
    <w:p w14:paraId="3D134D9B" w14:textId="40A1D74E" w:rsidR="00252F0C" w:rsidRDefault="00F353DB" w:rsidP="00252F0C">
      <w:pPr>
        <w:pStyle w:val="NormalWeb"/>
        <w:jc w:val="both"/>
        <w:rPr>
          <w:rFonts w:ascii="Garamond" w:hAnsi="Garamond"/>
        </w:rPr>
      </w:pPr>
      <w:r w:rsidRPr="003E6A25">
        <w:rPr>
          <w:rFonts w:ascii="Garamond" w:hAnsi="Garamond"/>
        </w:rPr>
        <w:t>Para resolver el problema jurídico planteado, este Despacho analizará: (i) el alcance de las obligaciones asumidas por el contratista; (ii) los principios que rigen la contratación estatal; (iii) la valoración integral del acervo probatorio; (iv) la imputabilidad del incumplimiento; y (v) la procedencia de las consecuencias contractuales derivadas del incumplimiento acreditado.</w:t>
      </w:r>
    </w:p>
    <w:p w14:paraId="20F8F0B5" w14:textId="39D9DDB5" w:rsidR="00F353DB" w:rsidRPr="00252F0C" w:rsidRDefault="00F353DB" w:rsidP="00252F0C">
      <w:pPr>
        <w:pStyle w:val="NormalWeb"/>
        <w:jc w:val="both"/>
        <w:rPr>
          <w:rFonts w:ascii="Garamond" w:hAnsi="Garamond"/>
        </w:rPr>
      </w:pPr>
      <w:r w:rsidRPr="003E6A25">
        <w:rPr>
          <w:rFonts w:ascii="Garamond" w:hAnsi="Garamond"/>
          <w:b/>
          <w:bCs/>
        </w:rPr>
        <w:t>VIII. CONSIDERACIONES JURÍDICAS</w:t>
      </w:r>
    </w:p>
    <w:p w14:paraId="09370422" w14:textId="2895056F" w:rsidR="00F353DB" w:rsidRPr="003E6A25" w:rsidRDefault="00F353DB" w:rsidP="00C46622">
      <w:pPr>
        <w:pStyle w:val="Ttulo2"/>
        <w:jc w:val="both"/>
        <w:rPr>
          <w:rFonts w:ascii="Garamond" w:hAnsi="Garamond"/>
          <w:sz w:val="24"/>
          <w:szCs w:val="24"/>
        </w:rPr>
      </w:pPr>
      <w:r w:rsidRPr="003E6A25">
        <w:rPr>
          <w:rFonts w:ascii="Garamond" w:hAnsi="Garamond"/>
          <w:sz w:val="24"/>
          <w:szCs w:val="24"/>
        </w:rPr>
        <w:t>8.1. La finalidad del contrato estatal y el deber de cumplimiento</w:t>
      </w:r>
    </w:p>
    <w:p w14:paraId="1EA63E8E" w14:textId="77777777" w:rsidR="00F353DB" w:rsidRPr="003E6A25" w:rsidRDefault="00F353DB" w:rsidP="00C46622">
      <w:pPr>
        <w:pStyle w:val="NormalWeb"/>
        <w:jc w:val="both"/>
        <w:rPr>
          <w:rFonts w:ascii="Garamond" w:hAnsi="Garamond"/>
        </w:rPr>
      </w:pPr>
      <w:r w:rsidRPr="003E6A25">
        <w:rPr>
          <w:rFonts w:ascii="Garamond" w:hAnsi="Garamond"/>
        </w:rPr>
        <w:t>La contratación estatal constituye uno de los principales instrumentos con los que cuenta la Administración para satisfacer el interés general y cumplir los fines esenciales del Estado previstos en el artículo 2 de la Constitución Política. En ese contexto, los contratos estatales no persiguen únicamente la satisfacción de intereses patrimoniales de las partes, sino la materialización de necesidades públicas cuya atención resulta esencial para la comunidad.</w:t>
      </w:r>
    </w:p>
    <w:p w14:paraId="3AB6C77D" w14:textId="77777777" w:rsidR="00DB036C" w:rsidRDefault="00DB036C" w:rsidP="00C46622">
      <w:pPr>
        <w:pStyle w:val="NormalWeb"/>
        <w:jc w:val="both"/>
        <w:rPr>
          <w:rFonts w:ascii="Garamond" w:hAnsi="Garamond"/>
        </w:rPr>
      </w:pPr>
    </w:p>
    <w:p w14:paraId="6ABA9BE2" w14:textId="1BCDA16E" w:rsidR="00F353DB" w:rsidRPr="003E6A25" w:rsidRDefault="00F353DB" w:rsidP="00C46622">
      <w:pPr>
        <w:pStyle w:val="NormalWeb"/>
        <w:jc w:val="both"/>
        <w:rPr>
          <w:rFonts w:ascii="Garamond" w:hAnsi="Garamond"/>
        </w:rPr>
      </w:pPr>
      <w:r w:rsidRPr="003E6A25">
        <w:rPr>
          <w:rFonts w:ascii="Garamond" w:hAnsi="Garamond"/>
        </w:rPr>
        <w:t>Por esta razón, el contratista que decide celebrar un contrato con el Estado asume una posición jurídica especial, en virtud de la cual se obliga no solo a ejecutar las prestaciones pactadas, sino a hacerlo de manera oportuna, eficiente, continua y conforme a las condiciones técnicas, jurídicas y económicas establecidas en el contrato.</w:t>
      </w:r>
    </w:p>
    <w:p w14:paraId="24F4C74C" w14:textId="097E39F0" w:rsidR="00F353DB" w:rsidRDefault="00F353DB" w:rsidP="002F47C3">
      <w:pPr>
        <w:pStyle w:val="NormalWeb"/>
        <w:jc w:val="both"/>
        <w:rPr>
          <w:rFonts w:ascii="Garamond" w:hAnsi="Garamond"/>
        </w:rPr>
      </w:pPr>
      <w:r w:rsidRPr="003E6A25">
        <w:rPr>
          <w:rFonts w:ascii="Garamond" w:hAnsi="Garamond"/>
        </w:rPr>
        <w:t>En consecuencia, el incumplimiento de las obligaciones contractuales trasciende el ámbito estrictamente negocial, pues afecta directamente la satisfacción del interés general y compromete la adecuada utilización de los recursos públicos.</w:t>
      </w:r>
    </w:p>
    <w:p w14:paraId="269C6BBA" w14:textId="110FC7AD" w:rsidR="0098140A" w:rsidRDefault="0098140A" w:rsidP="002F47C3">
      <w:pPr>
        <w:pStyle w:val="NormalWeb"/>
        <w:jc w:val="both"/>
        <w:rPr>
          <w:rFonts w:ascii="Garamond" w:hAnsi="Garamond"/>
        </w:rPr>
      </w:pPr>
      <w:r w:rsidRPr="0098140A">
        <w:rPr>
          <w:rFonts w:ascii="Garamond" w:hAnsi="Garamond"/>
        </w:rPr>
        <w:t>Esta especial naturaleza de la contratación pública encuentra su desarrollo normativo en el artículo 3 de la Ley 80 de 1993, el cual consagra que los particulares colaboran con las entidades estatales en el logro de sus fines y en la prestación de los servicios públicos, adquiriendo el estatus de colaboradores de la administración. Por consiguiente, al contratista no le es dable asumir una actitud pasiva o negligente frente al vencimiento de los plazos cronológicos, toda vez que el paso del tiempo sin la ejecución de la prestación degrada de forma automática el cumplimiento de los fines estatales encomendados.</w:t>
      </w:r>
    </w:p>
    <w:p w14:paraId="5D8E6980"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8.2. El principio de responsabilidad en la contratación estatal</w:t>
      </w:r>
    </w:p>
    <w:p w14:paraId="2D230154" w14:textId="77777777" w:rsidR="00252F0C" w:rsidRDefault="00F353DB" w:rsidP="00C46622">
      <w:pPr>
        <w:pStyle w:val="NormalWeb"/>
        <w:jc w:val="both"/>
        <w:rPr>
          <w:rFonts w:ascii="Garamond" w:hAnsi="Garamond"/>
        </w:rPr>
      </w:pPr>
      <w:r w:rsidRPr="003E6A25">
        <w:rPr>
          <w:rFonts w:ascii="Garamond" w:hAnsi="Garamond"/>
        </w:rPr>
        <w:t>El artículo 26 de la Ley 80 de 1993 consagra el principio de responsabilidad como uno de los ejes estructurales de la contratación estatal, imponiendo a los contratistas el deber de responder por la correcta ejecución de las obligaciones asumidas.</w:t>
      </w:r>
    </w:p>
    <w:p w14:paraId="2AAEC153" w14:textId="33786763" w:rsidR="00F353DB" w:rsidRPr="003E6A25" w:rsidRDefault="00F353DB" w:rsidP="00C46622">
      <w:pPr>
        <w:pStyle w:val="NormalWeb"/>
        <w:jc w:val="both"/>
        <w:rPr>
          <w:rFonts w:ascii="Garamond" w:hAnsi="Garamond"/>
        </w:rPr>
      </w:pPr>
      <w:r w:rsidRPr="003E6A25">
        <w:rPr>
          <w:rFonts w:ascii="Garamond" w:hAnsi="Garamond"/>
        </w:rPr>
        <w:t>Dicho principio implica que el contratista debe prever y administrar adecuadamente los recursos humanos, técnicos, financieros y logísticos necesarios para cumplir el objeto contratado, asumiendo los riesgos ordinarios inherentes a la ejecución del contrato.</w:t>
      </w:r>
    </w:p>
    <w:p w14:paraId="38FC8631" w14:textId="33C266B8" w:rsidR="00F353DB" w:rsidRPr="003E6A25" w:rsidRDefault="00F353DB" w:rsidP="002F47C3">
      <w:pPr>
        <w:pStyle w:val="NormalWeb"/>
        <w:jc w:val="both"/>
        <w:rPr>
          <w:rFonts w:ascii="Garamond" w:hAnsi="Garamond"/>
        </w:rPr>
      </w:pPr>
      <w:r w:rsidRPr="003E6A25">
        <w:rPr>
          <w:rFonts w:ascii="Garamond" w:hAnsi="Garamond"/>
        </w:rPr>
        <w:t>En tal sentido, la responsabilidad contractual no desaparece por la simple existencia de dificultades operativas, inconvenientes administrativos o diferencias técnicas surgidas durante la ejecución, salvo que se acredite la ocurrencia de circunstancias extraordinarias, imprevisibles e irresistibles que rompan el nexo de imputación y exoneren de responsabilidad al contratista.</w:t>
      </w:r>
    </w:p>
    <w:p w14:paraId="396332FD" w14:textId="77777777" w:rsidR="00DB036C" w:rsidRDefault="00DB036C" w:rsidP="00C46622">
      <w:pPr>
        <w:pStyle w:val="Ttulo2"/>
        <w:jc w:val="both"/>
        <w:rPr>
          <w:rFonts w:ascii="Garamond" w:hAnsi="Garamond"/>
          <w:sz w:val="24"/>
          <w:szCs w:val="24"/>
        </w:rPr>
      </w:pPr>
    </w:p>
    <w:p w14:paraId="4AB4CB1C" w14:textId="256BF358" w:rsidR="00F353DB" w:rsidRPr="003E6A25" w:rsidRDefault="00F353DB" w:rsidP="00C46622">
      <w:pPr>
        <w:pStyle w:val="Ttulo2"/>
        <w:jc w:val="both"/>
        <w:rPr>
          <w:rFonts w:ascii="Garamond" w:hAnsi="Garamond"/>
          <w:sz w:val="24"/>
          <w:szCs w:val="24"/>
        </w:rPr>
      </w:pPr>
      <w:r w:rsidRPr="003E6A25">
        <w:rPr>
          <w:rFonts w:ascii="Garamond" w:hAnsi="Garamond"/>
          <w:sz w:val="24"/>
          <w:szCs w:val="24"/>
        </w:rPr>
        <w:t>8.3. La potestad sancionatoria de la Administración</w:t>
      </w:r>
    </w:p>
    <w:p w14:paraId="14E0CBB0" w14:textId="77777777" w:rsidR="00F353DB" w:rsidRPr="003E6A25" w:rsidRDefault="00F353DB" w:rsidP="00C46622">
      <w:pPr>
        <w:pStyle w:val="NormalWeb"/>
        <w:jc w:val="both"/>
        <w:rPr>
          <w:rFonts w:ascii="Garamond" w:hAnsi="Garamond"/>
        </w:rPr>
      </w:pPr>
      <w:r w:rsidRPr="003E6A25">
        <w:rPr>
          <w:rFonts w:ascii="Garamond" w:hAnsi="Garamond"/>
        </w:rPr>
        <w:t>El artículo 86 de la Ley 1474 de 2011 reconoce a las entidades estatales la facultad de adelantar procedimientos administrativos orientados a verificar el incumplimiento de las obligaciones contractuales y, cuando ello resulte procedente, imponer las consecuencias previstas en el contrato y en la ley.</w:t>
      </w:r>
    </w:p>
    <w:p w14:paraId="0EF2E29A" w14:textId="77777777" w:rsidR="00F353DB" w:rsidRPr="003E6A25" w:rsidRDefault="00F353DB" w:rsidP="00C46622">
      <w:pPr>
        <w:pStyle w:val="NormalWeb"/>
        <w:jc w:val="both"/>
        <w:rPr>
          <w:rFonts w:ascii="Garamond" w:hAnsi="Garamond"/>
        </w:rPr>
      </w:pPr>
      <w:r w:rsidRPr="003E6A25">
        <w:rPr>
          <w:rFonts w:ascii="Garamond" w:hAnsi="Garamond"/>
        </w:rPr>
        <w:t>No se trata de una potestad discrecional ni arbitraria. Su ejercicio exige la acreditación objetiva del incumplimiento, el respeto del debido proceso y una motivación suficiente que permita comprender las razones de hecho y de derecho que sustentan la decisión.</w:t>
      </w:r>
    </w:p>
    <w:p w14:paraId="72535C7B" w14:textId="2F8BA447" w:rsidR="00F353DB" w:rsidRPr="003E6A25" w:rsidRDefault="00F353DB" w:rsidP="002F47C3">
      <w:pPr>
        <w:pStyle w:val="NormalWeb"/>
        <w:jc w:val="both"/>
        <w:rPr>
          <w:rFonts w:ascii="Garamond" w:hAnsi="Garamond"/>
        </w:rPr>
      </w:pPr>
      <w:r w:rsidRPr="003E6A25">
        <w:rPr>
          <w:rFonts w:ascii="Garamond" w:hAnsi="Garamond"/>
        </w:rPr>
        <w:t>En el presente caso, la actuación administrativa se desarrolló con estricta observancia de tales exigencias, garantizando la participación del contratista y de la compañía aseguradora, la práctica de pruebas, el ejercicio del derecho de defensa y la valoración integral del expediente administrativo.</w:t>
      </w:r>
    </w:p>
    <w:p w14:paraId="030FD379"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8.4. La carga de la prueba en el procedimiento administrativo</w:t>
      </w:r>
    </w:p>
    <w:p w14:paraId="113074F1" w14:textId="77777777" w:rsidR="00F353DB" w:rsidRPr="003E6A25" w:rsidRDefault="00F353DB" w:rsidP="00C46622">
      <w:pPr>
        <w:pStyle w:val="NormalWeb"/>
        <w:jc w:val="both"/>
        <w:rPr>
          <w:rFonts w:ascii="Garamond" w:hAnsi="Garamond"/>
        </w:rPr>
      </w:pPr>
      <w:r w:rsidRPr="003E6A25">
        <w:rPr>
          <w:rFonts w:ascii="Garamond" w:hAnsi="Garamond"/>
        </w:rPr>
        <w:t>La declaratoria de incumplimiento no puede fundarse en presunciones ni en apreciaciones subjetivas de la Administración.</w:t>
      </w:r>
    </w:p>
    <w:p w14:paraId="5C25EFB1" w14:textId="0C3C443C" w:rsidR="004E5186" w:rsidRDefault="00F353DB" w:rsidP="00252F0C">
      <w:pPr>
        <w:pStyle w:val="NormalWeb"/>
        <w:jc w:val="both"/>
        <w:rPr>
          <w:rFonts w:ascii="Garamond" w:hAnsi="Garamond"/>
        </w:rPr>
      </w:pPr>
      <w:r w:rsidRPr="003E6A25">
        <w:rPr>
          <w:rFonts w:ascii="Garamond" w:hAnsi="Garamond"/>
        </w:rPr>
        <w:t>Por el contrario, corresponde a la Entidad acreditar, mediante pruebas objetivas, la existencia de las obligaciones contractuales, el incumplimiento de las mismas y la imputabilidad de dicho incumplimiento al contratista.</w:t>
      </w:r>
    </w:p>
    <w:p w14:paraId="4CBE3187" w14:textId="36692D99" w:rsidR="00252F0C" w:rsidRDefault="00F353DB" w:rsidP="00252F0C">
      <w:pPr>
        <w:pStyle w:val="NormalWeb"/>
        <w:jc w:val="both"/>
        <w:rPr>
          <w:rFonts w:ascii="Garamond" w:hAnsi="Garamond"/>
        </w:rPr>
      </w:pPr>
      <w:r w:rsidRPr="003E6A25">
        <w:rPr>
          <w:rFonts w:ascii="Garamond" w:hAnsi="Garamond"/>
        </w:rPr>
        <w:t>En el presente procedimiento, la Administración considera satisfecho dicho estándar probatorio, toda vez que las conclusiones alcanzadas no provienen de un único documento ni de una apreciación aislada, sino de la valoración convergente de los informes técnicos, las actas de seguimiento, los registros fotográficos, las visitas practicadas, las comunicaciones intercambiadas entre las partes y los demás elementos de convicción incorporados al expediente.</w:t>
      </w:r>
    </w:p>
    <w:p w14:paraId="1B7031EB" w14:textId="77777777" w:rsidR="00DB036C" w:rsidRDefault="00DB036C" w:rsidP="00252F0C">
      <w:pPr>
        <w:pStyle w:val="NormalWeb"/>
        <w:jc w:val="both"/>
        <w:rPr>
          <w:rFonts w:ascii="Garamond" w:hAnsi="Garamond"/>
          <w:b/>
          <w:bCs/>
        </w:rPr>
      </w:pPr>
    </w:p>
    <w:p w14:paraId="7FF769D9" w14:textId="2DA7DA58" w:rsidR="00F353DB" w:rsidRPr="00252F0C" w:rsidRDefault="00F353DB" w:rsidP="00252F0C">
      <w:pPr>
        <w:pStyle w:val="NormalWeb"/>
        <w:jc w:val="both"/>
        <w:rPr>
          <w:rFonts w:ascii="Garamond" w:hAnsi="Garamond"/>
          <w:b/>
          <w:bCs/>
        </w:rPr>
      </w:pPr>
      <w:r w:rsidRPr="00252F0C">
        <w:rPr>
          <w:rFonts w:ascii="Garamond" w:hAnsi="Garamond"/>
          <w:b/>
          <w:bCs/>
        </w:rPr>
        <w:t>8.5. La imputabilidad del incumplimiento</w:t>
      </w:r>
    </w:p>
    <w:p w14:paraId="51A4B75F" w14:textId="166A3927" w:rsidR="00F353DB" w:rsidRPr="003E6A25" w:rsidRDefault="00F353DB" w:rsidP="00C46622">
      <w:pPr>
        <w:pStyle w:val="NormalWeb"/>
        <w:jc w:val="both"/>
        <w:rPr>
          <w:rFonts w:ascii="Garamond" w:hAnsi="Garamond"/>
        </w:rPr>
      </w:pPr>
      <w:r w:rsidRPr="003E6A25">
        <w:rPr>
          <w:rFonts w:ascii="Garamond" w:hAnsi="Garamond"/>
        </w:rPr>
        <w:t>La sola existencia de un resultado insatisfactorio no conduce automáticamente a la declaratoria de incumplimiento. Es indispensable establecer que dicho resultado sea jurídicamente imputable al contratista.</w:t>
      </w:r>
    </w:p>
    <w:p w14:paraId="371B95FF" w14:textId="77777777" w:rsidR="00F353DB" w:rsidRPr="003E6A25" w:rsidRDefault="00F353DB" w:rsidP="00C46622">
      <w:pPr>
        <w:pStyle w:val="NormalWeb"/>
        <w:jc w:val="both"/>
        <w:rPr>
          <w:rFonts w:ascii="Garamond" w:hAnsi="Garamond"/>
        </w:rPr>
      </w:pPr>
      <w:r w:rsidRPr="003E6A25">
        <w:rPr>
          <w:rFonts w:ascii="Garamond" w:hAnsi="Garamond"/>
        </w:rPr>
        <w:t>Del análisis integral del expediente administrativo, este Despacho encuentra acreditado que el contratista conocía plenamente las obligaciones asumidas, el cronograma de ejecución, las especificaciones técnicas y el plazo contractual.</w:t>
      </w:r>
    </w:p>
    <w:p w14:paraId="3856335A" w14:textId="77777777" w:rsidR="00F353DB" w:rsidRPr="003E6A25" w:rsidRDefault="00F353DB" w:rsidP="00C46622">
      <w:pPr>
        <w:pStyle w:val="NormalWeb"/>
        <w:jc w:val="both"/>
        <w:rPr>
          <w:rFonts w:ascii="Garamond" w:hAnsi="Garamond"/>
        </w:rPr>
      </w:pPr>
      <w:r w:rsidRPr="003E6A25">
        <w:rPr>
          <w:rFonts w:ascii="Garamond" w:hAnsi="Garamond"/>
        </w:rPr>
        <w:t>Igualmente, se encuentra demostrado que la Entidad brindó acompañamiento permanente mediante la supervisión e interventoría, efectuó requerimientos oportunos y otorgó al contratista la posibilidad de corregir las deficiencias advertidas durante la ejecución.</w:t>
      </w:r>
    </w:p>
    <w:p w14:paraId="5DFCC3C2" w14:textId="77777777" w:rsidR="00F353DB" w:rsidRPr="003E6A25" w:rsidRDefault="00F353DB" w:rsidP="00C46622">
      <w:pPr>
        <w:pStyle w:val="NormalWeb"/>
        <w:jc w:val="both"/>
        <w:rPr>
          <w:rFonts w:ascii="Garamond" w:hAnsi="Garamond"/>
        </w:rPr>
      </w:pPr>
      <w:r w:rsidRPr="003E6A25">
        <w:rPr>
          <w:rFonts w:ascii="Garamond" w:hAnsi="Garamond"/>
        </w:rPr>
        <w:t>No obstante, las pruebas permiten concluir que las medidas implementadas por el contratista resultaron insuficientes para ejecutar integralmente el objeto contractual dentro del plazo pactado y que las circunstancias alegadas durante el procedimiento no constituyen una causa eximente de responsabilidad.</w:t>
      </w:r>
    </w:p>
    <w:p w14:paraId="1885580E" w14:textId="560FF1EA" w:rsidR="00F353DB" w:rsidRPr="003E6A25" w:rsidRDefault="00F353DB" w:rsidP="002F47C3">
      <w:pPr>
        <w:pStyle w:val="NormalWeb"/>
        <w:jc w:val="both"/>
        <w:rPr>
          <w:rFonts w:ascii="Garamond" w:hAnsi="Garamond"/>
          <w:b/>
          <w:bCs/>
        </w:rPr>
      </w:pPr>
      <w:r w:rsidRPr="003E6A25">
        <w:rPr>
          <w:rFonts w:ascii="Garamond" w:hAnsi="Garamond"/>
        </w:rPr>
        <w:t xml:space="preserve">En consecuencia, el incumplimiento verificado resulta jurídicamente imputable a la </w:t>
      </w:r>
      <w:r w:rsidRPr="003E6A25">
        <w:rPr>
          <w:rFonts w:ascii="Garamond" w:hAnsi="Garamond"/>
          <w:b/>
          <w:bCs/>
        </w:rPr>
        <w:t>UNIÓN TEMPORAL BOLÍVAR.</w:t>
      </w:r>
    </w:p>
    <w:p w14:paraId="4E8FD186"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8.6. La incidencia del incumplimiento en la finalidad del contrato</w:t>
      </w:r>
    </w:p>
    <w:p w14:paraId="5A5BC3E0" w14:textId="77777777" w:rsidR="00DB036C" w:rsidRDefault="00F353DB" w:rsidP="00C46622">
      <w:pPr>
        <w:pStyle w:val="NormalWeb"/>
        <w:jc w:val="both"/>
        <w:rPr>
          <w:rFonts w:ascii="Garamond" w:hAnsi="Garamond"/>
        </w:rPr>
      </w:pPr>
      <w:r w:rsidRPr="003E6A25">
        <w:rPr>
          <w:rFonts w:ascii="Garamond" w:hAnsi="Garamond"/>
        </w:rPr>
        <w:t>Uno de los aspectos que esta Administración considera especialmente relevante es que el incumplimiento advertido no corresponde a una simple irregularidad formal o de escasa entidad.</w:t>
      </w:r>
    </w:p>
    <w:p w14:paraId="25D9C106" w14:textId="0B3DBBD6" w:rsidR="00F353DB" w:rsidRPr="003E6A25" w:rsidRDefault="00F353DB" w:rsidP="00C46622">
      <w:pPr>
        <w:pStyle w:val="NormalWeb"/>
        <w:jc w:val="both"/>
        <w:rPr>
          <w:rFonts w:ascii="Garamond" w:hAnsi="Garamond"/>
        </w:rPr>
      </w:pPr>
      <w:r w:rsidRPr="003E6A25">
        <w:rPr>
          <w:rFonts w:ascii="Garamond" w:hAnsi="Garamond"/>
        </w:rPr>
        <w:t>La inejecución de una parte sustancial del objeto contratado impidió que el Fondo de Desarrollo Local alcanzara integralmente la finalidad pública perseguida con la contratación, afectando el desarrollo del programa de mejoramiento de vivienda y el beneficio esperado para la población destinataria del proyecto.</w:t>
      </w:r>
    </w:p>
    <w:p w14:paraId="1126D7FF" w14:textId="77777777" w:rsidR="00DB036C" w:rsidRDefault="00DB036C" w:rsidP="00C46622">
      <w:pPr>
        <w:pStyle w:val="NormalWeb"/>
        <w:jc w:val="both"/>
        <w:rPr>
          <w:rFonts w:ascii="Garamond" w:hAnsi="Garamond"/>
        </w:rPr>
      </w:pPr>
    </w:p>
    <w:p w14:paraId="2DCEC5A4" w14:textId="0D765EFD" w:rsidR="00F353DB" w:rsidRPr="00DB036C" w:rsidRDefault="00F353DB" w:rsidP="00C46622">
      <w:pPr>
        <w:pStyle w:val="NormalWeb"/>
        <w:jc w:val="both"/>
        <w:rPr>
          <w:rFonts w:ascii="Garamond" w:hAnsi="Garamond"/>
        </w:rPr>
      </w:pPr>
      <w:r w:rsidRPr="00DB036C">
        <w:rPr>
          <w:rFonts w:ascii="Garamond" w:hAnsi="Garamond"/>
        </w:rPr>
        <w:t>La gravedad del incumplimiento no se mide únicamente por el porcentaje de ejecución alcanzado, sino por el impacto que la falta de terminación de las obras produjo sobre el cumplimiento de los fines estatales que justificaron la celebración del contrato.</w:t>
      </w:r>
    </w:p>
    <w:p w14:paraId="2056B8EA" w14:textId="4EA60BA5" w:rsidR="00F353DB" w:rsidRPr="00DB036C" w:rsidRDefault="00F353DB" w:rsidP="002F47C3">
      <w:pPr>
        <w:pStyle w:val="NormalWeb"/>
        <w:jc w:val="both"/>
        <w:rPr>
          <w:rFonts w:ascii="Garamond" w:hAnsi="Garamond"/>
        </w:rPr>
      </w:pPr>
      <w:r w:rsidRPr="00DB036C">
        <w:rPr>
          <w:rFonts w:ascii="Garamond" w:hAnsi="Garamond"/>
        </w:rPr>
        <w:t>Por ello, la Administración no puede limitar su análisis a un criterio cuantitativo. Debe valorar también la afectación material del objeto contractual, la frustración del interés público y el incumplimiento de las obligaciones esenciales asumidas por el contratista.</w:t>
      </w:r>
    </w:p>
    <w:p w14:paraId="79DBF52A" w14:textId="77777777" w:rsidR="0098140A" w:rsidRPr="00DB036C" w:rsidRDefault="0098140A" w:rsidP="0098140A">
      <w:pPr>
        <w:pStyle w:val="NormalWeb"/>
        <w:jc w:val="both"/>
        <w:rPr>
          <w:rFonts w:ascii="Garamond" w:hAnsi="Garamond"/>
        </w:rPr>
      </w:pPr>
      <w:r w:rsidRPr="00DB036C">
        <w:rPr>
          <w:rFonts w:ascii="Garamond" w:hAnsi="Garamond"/>
        </w:rPr>
        <w:t xml:space="preserve">En el caso particular del Contrato de Obra Pública </w:t>
      </w:r>
      <w:r w:rsidRPr="006245F0">
        <w:rPr>
          <w:rFonts w:ascii="Garamond" w:hAnsi="Garamond"/>
          <w:b/>
          <w:bCs/>
        </w:rPr>
        <w:t>No. COP-859-2023</w:t>
      </w:r>
      <w:r w:rsidRPr="00DB036C">
        <w:rPr>
          <w:rFonts w:ascii="Garamond" w:hAnsi="Garamond"/>
        </w:rPr>
        <w:t>, la función social y constitucional del negocio jurídico revestía una sensibilidad mayúscula, por cuanto su objeto apuntaba a la adecuación, mejoramiento e implementación de energías alternativas en viviendas rurales priorizadas de la localidad de Ciudad Bolívar. No se trataba, por ende, de una simple transacción económica o de una obra civil ordinaria, sino de la materialización de derechos fundamentales correlativos a la vivienda digna, el mínimo vital y el desarrollo social de una población en condiciones de vulnerabilidad y ruralidad dispersa.</w:t>
      </w:r>
    </w:p>
    <w:p w14:paraId="53199B8C" w14:textId="350A5F18" w:rsidR="00215385" w:rsidRPr="00DB036C" w:rsidRDefault="0098140A" w:rsidP="002F47C3">
      <w:pPr>
        <w:pStyle w:val="NormalWeb"/>
        <w:jc w:val="both"/>
        <w:rPr>
          <w:rFonts w:ascii="Garamond" w:hAnsi="Garamond"/>
        </w:rPr>
      </w:pPr>
      <w:r w:rsidRPr="00DB036C">
        <w:rPr>
          <w:rFonts w:ascii="Garamond" w:hAnsi="Garamond"/>
        </w:rPr>
        <w:t xml:space="preserve">Bajo esta óptica, el incumplimiento parcial del 47,93% de la obra por parte de </w:t>
      </w:r>
      <w:r w:rsidRPr="006245F0">
        <w:rPr>
          <w:rFonts w:ascii="Garamond" w:hAnsi="Garamond"/>
          <w:b/>
          <w:bCs/>
        </w:rPr>
        <w:t>la UNIÓN TEMPORAL BOLÍVAR</w:t>
      </w:r>
      <w:r w:rsidRPr="00DB036C">
        <w:rPr>
          <w:rFonts w:ascii="Garamond" w:hAnsi="Garamond"/>
        </w:rPr>
        <w:t xml:space="preserve"> no representa un mero dato estadístico o un simple retraso financiero; constituye una ruptura flagrante de la función del contrato estatal. Al haber dejado viviendas con 0% de ejecución y diagnósticos rechazados tras el vencimiento del plazo definitivo (el 21 de septiembre de 2024), el contratista frustró la inversión social programada por el Fondo de Desarrollo Local de Ciudad Bolívar, dejando desamparadas a las familias rurales priorizadas. Esta vulneración al interés general y a la continuidad de la función pública justifica, de manera proporcional, razonable y necesaria, la imposición de la sanción pecuniaria aquí decretada.</w:t>
      </w:r>
    </w:p>
    <w:p w14:paraId="3A00B583"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8.7. Conclusión jurídica</w:t>
      </w:r>
    </w:p>
    <w:p w14:paraId="48402786" w14:textId="77777777" w:rsidR="00F353DB" w:rsidRPr="003E6A25" w:rsidRDefault="00F353DB" w:rsidP="00C46622">
      <w:pPr>
        <w:pStyle w:val="NormalWeb"/>
        <w:jc w:val="both"/>
        <w:rPr>
          <w:rFonts w:ascii="Garamond" w:hAnsi="Garamond"/>
        </w:rPr>
      </w:pPr>
      <w:r w:rsidRPr="003E6A25">
        <w:rPr>
          <w:rFonts w:ascii="Garamond" w:hAnsi="Garamond"/>
        </w:rPr>
        <w:t>Con fundamento en el análisis efectuado, este Despacho concluye que concurren los presupuestos fácticos y jurídicos para declarar el incumplimiento del Contrato de Obra Pública No. COP-859-2023.</w:t>
      </w:r>
    </w:p>
    <w:p w14:paraId="4F151DF6" w14:textId="77777777" w:rsidR="006323AF" w:rsidRDefault="006323AF" w:rsidP="00C46622">
      <w:pPr>
        <w:pStyle w:val="NormalWeb"/>
        <w:jc w:val="both"/>
        <w:rPr>
          <w:rFonts w:ascii="Garamond" w:hAnsi="Garamond"/>
        </w:rPr>
      </w:pPr>
    </w:p>
    <w:p w14:paraId="31E89949" w14:textId="77777777" w:rsidR="006323AF" w:rsidRDefault="006323AF" w:rsidP="00C46622">
      <w:pPr>
        <w:pStyle w:val="NormalWeb"/>
        <w:jc w:val="both"/>
        <w:rPr>
          <w:rFonts w:ascii="Garamond" w:hAnsi="Garamond"/>
        </w:rPr>
      </w:pPr>
    </w:p>
    <w:p w14:paraId="60391DB7" w14:textId="782B5854" w:rsidR="00F353DB" w:rsidRPr="003E6A25" w:rsidRDefault="00F353DB" w:rsidP="00C46622">
      <w:pPr>
        <w:pStyle w:val="NormalWeb"/>
        <w:jc w:val="both"/>
        <w:rPr>
          <w:rFonts w:ascii="Garamond" w:hAnsi="Garamond"/>
        </w:rPr>
      </w:pPr>
      <w:r w:rsidRPr="003E6A25">
        <w:rPr>
          <w:rFonts w:ascii="Garamond" w:hAnsi="Garamond"/>
        </w:rPr>
        <w:t>La decisión que se adopta no obedece a una interpretación aislada de los informes de supervisión o interventoría, sino a una valoración integral del expediente administrativo, del cual se desprende que el contratista incumplió obligaciones esenciales derivadas del contrato, que dicho incumplimiento le es imputable y que no logró desvirtuar las conclusiones de la Administración mediante los argumentos expuestos en ejercicio de su derecho de defensa.</w:t>
      </w:r>
    </w:p>
    <w:p w14:paraId="1EDA630C" w14:textId="77777777" w:rsidR="002F47C3" w:rsidRPr="003E6A25" w:rsidRDefault="00F353DB" w:rsidP="002F47C3">
      <w:pPr>
        <w:pStyle w:val="NormalWeb"/>
        <w:jc w:val="both"/>
        <w:rPr>
          <w:rFonts w:ascii="Garamond" w:hAnsi="Garamond"/>
        </w:rPr>
      </w:pPr>
      <w:r w:rsidRPr="003E6A25">
        <w:rPr>
          <w:rFonts w:ascii="Garamond" w:hAnsi="Garamond"/>
        </w:rPr>
        <w:t>En tales condiciones, resulta procedente adoptar las medidas contractuales previstas para restablecer la legalidad, proteger el patrimonio público y salvaguardar los fines de la contratación estatal.</w:t>
      </w:r>
    </w:p>
    <w:p w14:paraId="5FD15003" w14:textId="706CF405" w:rsidR="00F353DB" w:rsidRPr="003E6A25" w:rsidRDefault="00F353DB" w:rsidP="002F47C3">
      <w:pPr>
        <w:pStyle w:val="NormalWeb"/>
        <w:jc w:val="both"/>
        <w:rPr>
          <w:rFonts w:ascii="Garamond" w:hAnsi="Garamond"/>
        </w:rPr>
      </w:pPr>
      <w:r w:rsidRPr="003E6A25">
        <w:rPr>
          <w:rFonts w:ascii="Garamond" w:hAnsi="Garamond"/>
          <w:b/>
          <w:bCs/>
        </w:rPr>
        <w:t>IX. JUICIO DE PROPORCIONALIDAD Y PROCEDENCIA DE LAS CONSECUENCIAS CONTRACTUALES</w:t>
      </w:r>
    </w:p>
    <w:p w14:paraId="7BF77B46" w14:textId="78CC2C5F" w:rsidR="00F353DB" w:rsidRPr="003E6A25" w:rsidRDefault="00F353DB" w:rsidP="00C46622">
      <w:pPr>
        <w:pStyle w:val="Ttulo2"/>
        <w:jc w:val="both"/>
        <w:rPr>
          <w:rFonts w:ascii="Garamond" w:hAnsi="Garamond"/>
          <w:sz w:val="24"/>
          <w:szCs w:val="24"/>
        </w:rPr>
      </w:pPr>
      <w:r w:rsidRPr="003E6A25">
        <w:rPr>
          <w:rFonts w:ascii="Garamond" w:hAnsi="Garamond"/>
          <w:sz w:val="24"/>
          <w:szCs w:val="24"/>
        </w:rPr>
        <w:t>9.1. La finalidad de la potestad sancionatoria en la contratación estatal</w:t>
      </w:r>
    </w:p>
    <w:p w14:paraId="604113C1" w14:textId="77777777" w:rsidR="00F353DB" w:rsidRPr="003E6A25" w:rsidRDefault="00F353DB" w:rsidP="00C46622">
      <w:pPr>
        <w:pStyle w:val="NormalWeb"/>
        <w:jc w:val="both"/>
        <w:rPr>
          <w:rFonts w:ascii="Garamond" w:hAnsi="Garamond"/>
        </w:rPr>
      </w:pPr>
      <w:r w:rsidRPr="003E6A25">
        <w:rPr>
          <w:rFonts w:ascii="Garamond" w:hAnsi="Garamond"/>
        </w:rPr>
        <w:t>La potestad sancionatoria atribuida a las entidades estatales en materia contractual no tiene una finalidad exclusivamente represiva. Su ejercicio responde a la necesidad de garantizar la correcta ejecución de los contratos estatales, proteger el patrimonio público, asegurar la satisfacción del interés general y preservar los principios que orientan la función administrativa.</w:t>
      </w:r>
    </w:p>
    <w:p w14:paraId="3B9FBF89" w14:textId="77777777" w:rsidR="00F353DB" w:rsidRPr="003E6A25" w:rsidRDefault="00F353DB" w:rsidP="00C46622">
      <w:pPr>
        <w:pStyle w:val="NormalWeb"/>
        <w:jc w:val="both"/>
        <w:rPr>
          <w:rFonts w:ascii="Garamond" w:hAnsi="Garamond"/>
        </w:rPr>
      </w:pPr>
      <w:r w:rsidRPr="003E6A25">
        <w:rPr>
          <w:rFonts w:ascii="Garamond" w:hAnsi="Garamond"/>
        </w:rPr>
        <w:t>En tal sentido, las decisiones adoptadas en ejercicio de dicha potestad deben responder a criterios de legalidad, necesidad, razonabilidad y proporcionalidad, evitando tanto la imposición de consecuencias desproporcionadas como la inactividad frente a incumplimientos que comprometan la finalidad pública perseguida con la contratación.</w:t>
      </w:r>
    </w:p>
    <w:p w14:paraId="32636A7B" w14:textId="77777777" w:rsidR="00DB036C" w:rsidRDefault="00F353DB" w:rsidP="00DB036C">
      <w:pPr>
        <w:pStyle w:val="NormalWeb"/>
        <w:jc w:val="both"/>
        <w:rPr>
          <w:rFonts w:ascii="Garamond" w:hAnsi="Garamond"/>
        </w:rPr>
      </w:pPr>
      <w:r w:rsidRPr="003E6A25">
        <w:rPr>
          <w:rFonts w:ascii="Garamond" w:hAnsi="Garamond"/>
        </w:rPr>
        <w:t>Por consiguiente, antes de adoptar una decisión de declaratoria de incumplimiento, corresponde a la Administración verificar que la medida resulte adecuada para la protección del interés general, necesaria frente a las circunstancias acreditadas y proporcional a la gravedad del incumplimiento evidenciado.</w:t>
      </w:r>
    </w:p>
    <w:p w14:paraId="6E73EEB9" w14:textId="09F5B668" w:rsidR="00F353DB" w:rsidRPr="00DB036C" w:rsidRDefault="00F353DB" w:rsidP="00DB036C">
      <w:pPr>
        <w:pStyle w:val="NormalWeb"/>
        <w:jc w:val="both"/>
        <w:rPr>
          <w:rFonts w:ascii="Garamond" w:hAnsi="Garamond"/>
          <w:b/>
          <w:bCs/>
        </w:rPr>
      </w:pPr>
      <w:r w:rsidRPr="00DB036C">
        <w:rPr>
          <w:rFonts w:ascii="Garamond" w:hAnsi="Garamond"/>
          <w:b/>
          <w:bCs/>
        </w:rPr>
        <w:t>9.2. Idoneidad de la medida</w:t>
      </w:r>
    </w:p>
    <w:p w14:paraId="6E422538" w14:textId="77777777" w:rsidR="006323AF" w:rsidRDefault="006323AF" w:rsidP="00C46622">
      <w:pPr>
        <w:pStyle w:val="NormalWeb"/>
        <w:jc w:val="both"/>
        <w:rPr>
          <w:rFonts w:ascii="Garamond" w:hAnsi="Garamond"/>
        </w:rPr>
      </w:pPr>
    </w:p>
    <w:p w14:paraId="709A3148" w14:textId="42FC908C" w:rsidR="00F353DB" w:rsidRPr="003E6A25" w:rsidRDefault="00F353DB" w:rsidP="00C46622">
      <w:pPr>
        <w:pStyle w:val="NormalWeb"/>
        <w:jc w:val="both"/>
        <w:rPr>
          <w:rFonts w:ascii="Garamond" w:hAnsi="Garamond"/>
        </w:rPr>
      </w:pPr>
      <w:r w:rsidRPr="003E6A25">
        <w:rPr>
          <w:rFonts w:ascii="Garamond" w:hAnsi="Garamond"/>
        </w:rPr>
        <w:t>Del análisis integral del expediente administrativo se concluye que la declaratoria de incumplimiento constituye una medida idónea para restablecer la legalidad contractual.</w:t>
      </w:r>
    </w:p>
    <w:p w14:paraId="66617D95" w14:textId="2AF8BB17" w:rsidR="00F353DB" w:rsidRPr="003E6A25" w:rsidRDefault="00F353DB" w:rsidP="00C46622">
      <w:pPr>
        <w:pStyle w:val="NormalWeb"/>
        <w:jc w:val="both"/>
        <w:rPr>
          <w:rFonts w:ascii="Garamond" w:hAnsi="Garamond"/>
        </w:rPr>
      </w:pPr>
      <w:r w:rsidRPr="003E6A25">
        <w:rPr>
          <w:rFonts w:ascii="Garamond" w:hAnsi="Garamond"/>
        </w:rPr>
        <w:t>Las pruebas demuestran que, pese al seguimiento permanente realizado por la supervisión y la interventoría, a los múltiples requerimientos formulados durante la ejecución y a las oportunidades otorgadas al contratista para corregir las deficiencias advertidas, al vencimiento del plazo contractual permanecía sin ejecutar una parte sustancial del objeto contratado.</w:t>
      </w:r>
    </w:p>
    <w:p w14:paraId="26ACCB47" w14:textId="3C01489C" w:rsidR="004E5186" w:rsidRDefault="00F353DB" w:rsidP="00DB036C">
      <w:pPr>
        <w:pStyle w:val="NormalWeb"/>
        <w:jc w:val="both"/>
        <w:rPr>
          <w:rFonts w:ascii="Garamond" w:hAnsi="Garamond"/>
        </w:rPr>
      </w:pPr>
      <w:r w:rsidRPr="003E6A25">
        <w:rPr>
          <w:rFonts w:ascii="Garamond" w:hAnsi="Garamond"/>
        </w:rPr>
        <w:t xml:space="preserve">En consecuencia, la decisión de declarar el incumplimiento guarda una relación directa con los hechos acreditados y con el incumplimiento de obligaciones esenciales derivadas del contrato, </w:t>
      </w:r>
      <w:r w:rsidR="002F47C3" w:rsidRPr="003E6A25">
        <w:rPr>
          <w:rFonts w:ascii="Garamond" w:hAnsi="Garamond"/>
        </w:rPr>
        <w:t>resultando adecuado</w:t>
      </w:r>
      <w:r w:rsidRPr="003E6A25">
        <w:rPr>
          <w:rFonts w:ascii="Garamond" w:hAnsi="Garamond"/>
        </w:rPr>
        <w:t xml:space="preserve"> para proteger los intereses públicos comprometidos.</w:t>
      </w:r>
    </w:p>
    <w:p w14:paraId="24E3B48A" w14:textId="657DD04B" w:rsidR="00F353DB" w:rsidRPr="003E6A25" w:rsidRDefault="00F353DB" w:rsidP="00C46622">
      <w:pPr>
        <w:pStyle w:val="Ttulo2"/>
        <w:jc w:val="both"/>
        <w:rPr>
          <w:rFonts w:ascii="Garamond" w:hAnsi="Garamond"/>
          <w:sz w:val="24"/>
          <w:szCs w:val="24"/>
        </w:rPr>
      </w:pPr>
      <w:r w:rsidRPr="003E6A25">
        <w:rPr>
          <w:rFonts w:ascii="Garamond" w:hAnsi="Garamond"/>
          <w:sz w:val="24"/>
          <w:szCs w:val="24"/>
        </w:rPr>
        <w:t>9.3. Necesidad de la decisión</w:t>
      </w:r>
    </w:p>
    <w:p w14:paraId="04FA154A" w14:textId="77777777" w:rsidR="00252F0C" w:rsidRDefault="00F353DB" w:rsidP="00C46622">
      <w:pPr>
        <w:pStyle w:val="NormalWeb"/>
        <w:jc w:val="both"/>
        <w:rPr>
          <w:rFonts w:ascii="Garamond" w:hAnsi="Garamond"/>
        </w:rPr>
      </w:pPr>
      <w:r w:rsidRPr="003E6A25">
        <w:rPr>
          <w:rFonts w:ascii="Garamond" w:hAnsi="Garamond"/>
        </w:rPr>
        <w:t>Este Despacho advierte que la declaratoria de incumplimiento constituye igualmente una medida necesaria.</w:t>
      </w:r>
    </w:p>
    <w:p w14:paraId="4A9B94BB" w14:textId="2BC378B2" w:rsidR="00F353DB" w:rsidRPr="003E6A25" w:rsidRDefault="00F353DB" w:rsidP="00C46622">
      <w:pPr>
        <w:pStyle w:val="NormalWeb"/>
        <w:jc w:val="both"/>
        <w:rPr>
          <w:rFonts w:ascii="Garamond" w:hAnsi="Garamond"/>
        </w:rPr>
      </w:pPr>
      <w:r w:rsidRPr="003E6A25">
        <w:rPr>
          <w:rFonts w:ascii="Garamond" w:hAnsi="Garamond"/>
        </w:rPr>
        <w:t>Durante la ejecución contractual la Administración agotó actuaciones orientadas a obtener el cumplimiento voluntario del contrato mediante requerimientos, observaciones técnicas, mesas de seguimiento, visitas de obra y demás mecanismos de control previstos en la ley y en el contrato.</w:t>
      </w:r>
    </w:p>
    <w:p w14:paraId="4DA59E01" w14:textId="77777777" w:rsidR="00F353DB" w:rsidRPr="003E6A25" w:rsidRDefault="00F353DB" w:rsidP="00C46622">
      <w:pPr>
        <w:pStyle w:val="NormalWeb"/>
        <w:jc w:val="both"/>
        <w:rPr>
          <w:rFonts w:ascii="Garamond" w:hAnsi="Garamond"/>
        </w:rPr>
      </w:pPr>
      <w:r w:rsidRPr="003E6A25">
        <w:rPr>
          <w:rFonts w:ascii="Garamond" w:hAnsi="Garamond"/>
        </w:rPr>
        <w:t>Sin embargo, dichas actuaciones no permitieron superar los incumplimientos advertidos ni garantizar la ejecución integral del objeto contractual dentro del término pactado.</w:t>
      </w:r>
    </w:p>
    <w:p w14:paraId="3225DC9C" w14:textId="77777777" w:rsidR="00252F0C" w:rsidRDefault="00F353DB" w:rsidP="002F47C3">
      <w:pPr>
        <w:pStyle w:val="NormalWeb"/>
        <w:jc w:val="both"/>
        <w:rPr>
          <w:rFonts w:ascii="Garamond" w:hAnsi="Garamond"/>
        </w:rPr>
      </w:pPr>
      <w:r w:rsidRPr="003E6A25">
        <w:rPr>
          <w:rFonts w:ascii="Garamond" w:hAnsi="Garamond"/>
        </w:rPr>
        <w:t xml:space="preserve">En tales condiciones, la Administración no disponía de una medida menos gravosa que permitiera restablecer el orden jurídico contractual y proteger el interés público comprometido, </w:t>
      </w:r>
    </w:p>
    <w:p w14:paraId="45340455" w14:textId="77777777" w:rsidR="00DB036C" w:rsidRDefault="00F353DB" w:rsidP="00DB036C">
      <w:pPr>
        <w:pStyle w:val="NormalWeb"/>
        <w:jc w:val="both"/>
        <w:rPr>
          <w:rFonts w:ascii="Garamond" w:hAnsi="Garamond"/>
        </w:rPr>
      </w:pPr>
      <w:r w:rsidRPr="003E6A25">
        <w:rPr>
          <w:rFonts w:ascii="Garamond" w:hAnsi="Garamond"/>
        </w:rPr>
        <w:t>razón por la cual la declaratoria de incumplimiento constituye la consecuencia jurídica procedente.</w:t>
      </w:r>
    </w:p>
    <w:p w14:paraId="11E7F1C9" w14:textId="77777777" w:rsidR="006323AF" w:rsidRDefault="00F353DB" w:rsidP="00C46622">
      <w:pPr>
        <w:pStyle w:val="NormalWeb"/>
        <w:jc w:val="both"/>
        <w:rPr>
          <w:rFonts w:ascii="Garamond" w:hAnsi="Garamond"/>
          <w:b/>
          <w:bCs/>
        </w:rPr>
      </w:pPr>
      <w:r w:rsidRPr="00DB036C">
        <w:rPr>
          <w:rFonts w:ascii="Garamond" w:hAnsi="Garamond"/>
          <w:b/>
          <w:bCs/>
        </w:rPr>
        <w:lastRenderedPageBreak/>
        <w:t>9.4. Proporcionalidad de las consecuencias contractuales</w:t>
      </w:r>
    </w:p>
    <w:p w14:paraId="16D2E603" w14:textId="06DAC5EE" w:rsidR="00F353DB" w:rsidRPr="006323AF" w:rsidRDefault="00F353DB" w:rsidP="00C46622">
      <w:pPr>
        <w:pStyle w:val="NormalWeb"/>
        <w:jc w:val="both"/>
        <w:rPr>
          <w:rFonts w:ascii="Garamond" w:hAnsi="Garamond"/>
          <w:b/>
          <w:bCs/>
        </w:rPr>
      </w:pPr>
      <w:r w:rsidRPr="003E6A25">
        <w:rPr>
          <w:rFonts w:ascii="Garamond" w:hAnsi="Garamond"/>
        </w:rPr>
        <w:t>La Administración considera que las consecuencias derivadas del incumplimiento guardan una relación razonable con la gravedad de los hechos acreditados.</w:t>
      </w:r>
    </w:p>
    <w:p w14:paraId="33CEBB63" w14:textId="77777777" w:rsidR="00F353DB" w:rsidRPr="003E6A25" w:rsidRDefault="00F353DB" w:rsidP="00C46622">
      <w:pPr>
        <w:pStyle w:val="NormalWeb"/>
        <w:jc w:val="both"/>
        <w:rPr>
          <w:rFonts w:ascii="Garamond" w:hAnsi="Garamond"/>
        </w:rPr>
      </w:pPr>
      <w:r w:rsidRPr="003E6A25">
        <w:rPr>
          <w:rFonts w:ascii="Garamond" w:hAnsi="Garamond"/>
        </w:rPr>
        <w:t>La decisión no se fundamenta en incumplimientos menores, en simples diferencias de criterio técnico ni en irregularidades de carácter formal. Por el contrario, obedece a la verificación objetiva de que el contratista no ejecutó integralmente el objeto contratado dentro del plazo convenido, circunstancia que afectó el cumplimiento de la finalidad pública del contrato.</w:t>
      </w:r>
    </w:p>
    <w:p w14:paraId="1CF78495" w14:textId="77777777" w:rsidR="00F353DB" w:rsidRPr="003E6A25" w:rsidRDefault="00F353DB" w:rsidP="00C46622">
      <w:pPr>
        <w:pStyle w:val="NormalWeb"/>
        <w:jc w:val="both"/>
        <w:rPr>
          <w:rFonts w:ascii="Garamond" w:hAnsi="Garamond"/>
        </w:rPr>
      </w:pPr>
      <w:r w:rsidRPr="003E6A25">
        <w:rPr>
          <w:rFonts w:ascii="Garamond" w:hAnsi="Garamond"/>
        </w:rPr>
        <w:t>En consecuencia, la aplicación de la cláusula penal pecuniaria y la efectividad del amparo de cumplimiento no constituyen una sanción desproporcionada, sino la materialización de las consecuencias previamente aceptadas por las partes al momento de celebrar el contrato, orientadas a resarcir los perjuicios derivados del incumplimiento y a proteger los recursos públicos.</w:t>
      </w:r>
    </w:p>
    <w:p w14:paraId="21EB8CE3"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9.5. Protección del interés general y del patrimonio público</w:t>
      </w:r>
    </w:p>
    <w:p w14:paraId="4AD66772" w14:textId="77777777" w:rsidR="00252F0C" w:rsidRDefault="00F353DB" w:rsidP="00C46622">
      <w:pPr>
        <w:pStyle w:val="NormalWeb"/>
        <w:jc w:val="both"/>
        <w:rPr>
          <w:rFonts w:ascii="Garamond" w:hAnsi="Garamond"/>
        </w:rPr>
      </w:pPr>
      <w:r w:rsidRPr="003E6A25">
        <w:rPr>
          <w:rFonts w:ascii="Garamond" w:hAnsi="Garamond"/>
        </w:rPr>
        <w:t>La contratación estatal tiene como finalidad satisfacer necesidades colectivas y garantizar la adecuada prestación de los servicios a cargo del Estado.</w:t>
      </w:r>
    </w:p>
    <w:p w14:paraId="683B63BA" w14:textId="63157FD8" w:rsidR="00F353DB" w:rsidRPr="003E6A25" w:rsidRDefault="00F353DB" w:rsidP="00C46622">
      <w:pPr>
        <w:pStyle w:val="NormalWeb"/>
        <w:jc w:val="both"/>
        <w:rPr>
          <w:rFonts w:ascii="Garamond" w:hAnsi="Garamond"/>
        </w:rPr>
      </w:pPr>
      <w:r w:rsidRPr="003E6A25">
        <w:rPr>
          <w:rFonts w:ascii="Garamond" w:hAnsi="Garamond"/>
        </w:rPr>
        <w:t>En el presente caso, el objeto contractual estaba dirigido al mejoramiento de las condiciones de habitabilidad de viviendas ubicadas en la localidad de Ciudad Bolívar, proyecto que perseguía un claro propósito social y cuya ejecución debía realizarse dentro de los parámetros de eficiencia, oportunidad y calidad previstos en el contrato.</w:t>
      </w:r>
    </w:p>
    <w:p w14:paraId="723300F7" w14:textId="77777777" w:rsidR="004E5186" w:rsidRDefault="00F353DB" w:rsidP="002F47C3">
      <w:pPr>
        <w:pStyle w:val="NormalWeb"/>
        <w:jc w:val="both"/>
        <w:rPr>
          <w:rFonts w:ascii="Garamond" w:hAnsi="Garamond"/>
        </w:rPr>
      </w:pPr>
      <w:r w:rsidRPr="003E6A25">
        <w:rPr>
          <w:rFonts w:ascii="Garamond" w:hAnsi="Garamond"/>
        </w:rPr>
        <w:t>La inejecución de una parte sustancial del objeto contractual afectó el cumplimiento de dicha finalidad pública y comprometió la adecuada utilización de los recursos asignados al proyecto.</w:t>
      </w:r>
    </w:p>
    <w:p w14:paraId="69D35B37" w14:textId="5102C456" w:rsidR="00F353DB" w:rsidRPr="003E6A25" w:rsidRDefault="00F353DB" w:rsidP="002F47C3">
      <w:pPr>
        <w:pStyle w:val="NormalWeb"/>
        <w:jc w:val="both"/>
        <w:rPr>
          <w:rFonts w:ascii="Garamond" w:hAnsi="Garamond"/>
        </w:rPr>
      </w:pPr>
      <w:r w:rsidRPr="003E6A25">
        <w:rPr>
          <w:rFonts w:ascii="Garamond" w:hAnsi="Garamond"/>
        </w:rPr>
        <w:t>Por ello, la Administración no solo se encuentra facultada, sino obligada, a adoptar las medidas contractuales necesarias para proteger el patrimonio público y garantizar la efectividad de los principios que orientan la contratación estatal.</w:t>
      </w:r>
    </w:p>
    <w:p w14:paraId="0F8FC5CF" w14:textId="77777777" w:rsidR="00DB036C" w:rsidRDefault="00DB036C" w:rsidP="00C46622">
      <w:pPr>
        <w:pStyle w:val="Ttulo2"/>
        <w:jc w:val="both"/>
        <w:rPr>
          <w:rFonts w:ascii="Garamond" w:hAnsi="Garamond"/>
          <w:sz w:val="24"/>
          <w:szCs w:val="24"/>
        </w:rPr>
      </w:pPr>
    </w:p>
    <w:p w14:paraId="6C5F46BD" w14:textId="7FB9A22E" w:rsidR="00F353DB" w:rsidRPr="003E6A25" w:rsidRDefault="00F353DB" w:rsidP="00C46622">
      <w:pPr>
        <w:pStyle w:val="Ttulo2"/>
        <w:jc w:val="both"/>
        <w:rPr>
          <w:rFonts w:ascii="Garamond" w:hAnsi="Garamond"/>
          <w:sz w:val="24"/>
          <w:szCs w:val="24"/>
        </w:rPr>
      </w:pPr>
      <w:r w:rsidRPr="003E6A25">
        <w:rPr>
          <w:rFonts w:ascii="Garamond" w:hAnsi="Garamond"/>
          <w:sz w:val="24"/>
          <w:szCs w:val="24"/>
        </w:rPr>
        <w:t>9.6. Conclusión del juicio de proporcionalidad</w:t>
      </w:r>
    </w:p>
    <w:p w14:paraId="1E29A0DF" w14:textId="77777777" w:rsidR="00F353DB" w:rsidRPr="003E6A25" w:rsidRDefault="00F353DB" w:rsidP="00C46622">
      <w:pPr>
        <w:pStyle w:val="NormalWeb"/>
        <w:jc w:val="both"/>
        <w:rPr>
          <w:rFonts w:ascii="Garamond" w:hAnsi="Garamond"/>
        </w:rPr>
      </w:pPr>
      <w:r w:rsidRPr="003E6A25">
        <w:rPr>
          <w:rFonts w:ascii="Garamond" w:hAnsi="Garamond"/>
        </w:rPr>
        <w:t>De conformidad con las consideraciones expuestas, este Despacho concluye que la declaratoria de incumplimiento y la aplicación de las consecuencias contractuales previstas en el Contrato de Obra Pública No. COP-859-2023 satisfacen los principios de legalidad, razonabilidad y proporcionalidad.</w:t>
      </w:r>
    </w:p>
    <w:p w14:paraId="35CB0855" w14:textId="77777777" w:rsidR="004E5186" w:rsidRDefault="00F353DB" w:rsidP="002F47C3">
      <w:pPr>
        <w:pStyle w:val="NormalWeb"/>
        <w:jc w:val="both"/>
        <w:rPr>
          <w:rFonts w:ascii="Garamond" w:hAnsi="Garamond"/>
        </w:rPr>
      </w:pPr>
      <w:r w:rsidRPr="003E6A25">
        <w:rPr>
          <w:rFonts w:ascii="Garamond" w:hAnsi="Garamond"/>
        </w:rPr>
        <w:t xml:space="preserve">La decisión que se adopta mediante el presente acto administrativo constituye una respuesta jurídicamente necesaria frente a un incumplimiento objetivamente acreditado, respetando las </w:t>
      </w:r>
    </w:p>
    <w:p w14:paraId="1E708415" w14:textId="490B83BD" w:rsidR="00F353DB" w:rsidRPr="003E6A25" w:rsidRDefault="00F353DB" w:rsidP="002F47C3">
      <w:pPr>
        <w:pStyle w:val="NormalWeb"/>
        <w:jc w:val="both"/>
        <w:rPr>
          <w:rFonts w:ascii="Garamond" w:hAnsi="Garamond"/>
        </w:rPr>
      </w:pPr>
      <w:r w:rsidRPr="003E6A25">
        <w:rPr>
          <w:rFonts w:ascii="Garamond" w:hAnsi="Garamond"/>
        </w:rPr>
        <w:t>garantías del debido proceso y procurando la protección del interés general, del patrimonio público y de los fines de la contratación estatal.</w:t>
      </w:r>
    </w:p>
    <w:p w14:paraId="5D87E155" w14:textId="77777777" w:rsidR="00F353DB" w:rsidRPr="003E6A25" w:rsidRDefault="00F353DB" w:rsidP="00C46622">
      <w:pPr>
        <w:pStyle w:val="Ttulo1"/>
        <w:jc w:val="both"/>
        <w:rPr>
          <w:rFonts w:ascii="Garamond" w:hAnsi="Garamond"/>
          <w:b/>
          <w:bCs/>
          <w:color w:val="000000" w:themeColor="text1"/>
          <w:sz w:val="24"/>
          <w:szCs w:val="24"/>
        </w:rPr>
      </w:pPr>
      <w:r w:rsidRPr="003E6A25">
        <w:rPr>
          <w:rFonts w:ascii="Garamond" w:hAnsi="Garamond"/>
          <w:b/>
          <w:bCs/>
          <w:color w:val="000000" w:themeColor="text1"/>
          <w:sz w:val="24"/>
          <w:szCs w:val="24"/>
        </w:rPr>
        <w:t>X. DECLARATORIA DEL INCUMPLIMIENTO</w:t>
      </w:r>
    </w:p>
    <w:p w14:paraId="40DC7390"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10.1. Configuración del incumplimiento contractual</w:t>
      </w:r>
    </w:p>
    <w:p w14:paraId="644A348D" w14:textId="77777777" w:rsidR="00F353DB" w:rsidRPr="003E6A25" w:rsidRDefault="00F353DB" w:rsidP="00C46622">
      <w:pPr>
        <w:pStyle w:val="NormalWeb"/>
        <w:jc w:val="both"/>
        <w:rPr>
          <w:rFonts w:ascii="Garamond" w:hAnsi="Garamond"/>
        </w:rPr>
      </w:pPr>
      <w:r w:rsidRPr="003E6A25">
        <w:rPr>
          <w:rFonts w:ascii="Garamond" w:hAnsi="Garamond"/>
        </w:rPr>
        <w:t xml:space="preserve">Con fundamento en la valoración integral del acervo probatorio, este Despacho encuentra plenamente acreditado que la </w:t>
      </w:r>
      <w:r w:rsidRPr="003E6A25">
        <w:rPr>
          <w:rStyle w:val="Textoennegrita"/>
          <w:rFonts w:ascii="Garamond" w:hAnsi="Garamond"/>
        </w:rPr>
        <w:t>UNIÓN TEMPORAL BOLÍVAR</w:t>
      </w:r>
      <w:r w:rsidRPr="003E6A25">
        <w:rPr>
          <w:rFonts w:ascii="Garamond" w:hAnsi="Garamond"/>
        </w:rPr>
        <w:t xml:space="preserve"> incumplió las obligaciones esenciales asumidas en virtud del Contrato de Obra Pública No. COP-859-2023.</w:t>
      </w:r>
    </w:p>
    <w:p w14:paraId="721E796E" w14:textId="77777777" w:rsidR="00252F0C" w:rsidRDefault="00F353DB" w:rsidP="00C46622">
      <w:pPr>
        <w:pStyle w:val="NormalWeb"/>
        <w:jc w:val="both"/>
        <w:rPr>
          <w:rFonts w:ascii="Garamond" w:hAnsi="Garamond"/>
        </w:rPr>
      </w:pPr>
      <w:r w:rsidRPr="003E6A25">
        <w:rPr>
          <w:rFonts w:ascii="Garamond" w:hAnsi="Garamond"/>
        </w:rPr>
        <w:t xml:space="preserve">Las pruebas recaudadas demuestran que, al vencimiento del plazo contractual y pese a las oportunidades otorgadas por la Administración para superar las deficiencias advertidas, </w:t>
      </w:r>
    </w:p>
    <w:p w14:paraId="0DCEEBE1" w14:textId="6C1EBBFB" w:rsidR="00F353DB" w:rsidRPr="003E6A25" w:rsidRDefault="00F353DB" w:rsidP="00C46622">
      <w:pPr>
        <w:pStyle w:val="NormalWeb"/>
        <w:jc w:val="both"/>
        <w:rPr>
          <w:rFonts w:ascii="Garamond" w:hAnsi="Garamond"/>
        </w:rPr>
      </w:pPr>
      <w:r w:rsidRPr="003E6A25">
        <w:rPr>
          <w:rFonts w:ascii="Garamond" w:hAnsi="Garamond"/>
        </w:rPr>
        <w:t>permaneció sin ejecutar una parte sustancial del objeto contratado, situación que impidió la satisfacción plena de la finalidad pública perseguida con la celebración del contrato.</w:t>
      </w:r>
    </w:p>
    <w:p w14:paraId="4DE93BBD" w14:textId="2C1E9A05" w:rsidR="00F353DB" w:rsidRPr="003E6A25" w:rsidRDefault="00F353DB" w:rsidP="002F47C3">
      <w:pPr>
        <w:pStyle w:val="NormalWeb"/>
        <w:jc w:val="both"/>
        <w:rPr>
          <w:rFonts w:ascii="Garamond" w:hAnsi="Garamond"/>
        </w:rPr>
      </w:pPr>
      <w:r w:rsidRPr="003E6A25">
        <w:rPr>
          <w:rFonts w:ascii="Garamond" w:hAnsi="Garamond"/>
        </w:rPr>
        <w:t>Este incumplimiento no obedece a circunstancias atribuibles a la Entidad ni encuentra justificación suficiente en los argumentos expuestos por el contratista durante el procedimiento administrativo. Por el contrario, del análisis conjunto de las pruebas se desprende que las causas del incumplimiento son imputables a la organización, gestión y ejecución contractual a cargo del contratista.</w:t>
      </w:r>
    </w:p>
    <w:p w14:paraId="51D907E3" w14:textId="77777777" w:rsidR="00DB036C" w:rsidRDefault="00DB036C" w:rsidP="00C46622">
      <w:pPr>
        <w:pStyle w:val="Ttulo2"/>
        <w:jc w:val="both"/>
        <w:rPr>
          <w:rFonts w:ascii="Garamond" w:hAnsi="Garamond"/>
          <w:sz w:val="24"/>
          <w:szCs w:val="24"/>
        </w:rPr>
      </w:pPr>
    </w:p>
    <w:p w14:paraId="07A5A997" w14:textId="61B402B7" w:rsidR="00F353DB" w:rsidRPr="003E6A25" w:rsidRDefault="00F353DB" w:rsidP="00C46622">
      <w:pPr>
        <w:pStyle w:val="Ttulo2"/>
        <w:jc w:val="both"/>
        <w:rPr>
          <w:rFonts w:ascii="Garamond" w:hAnsi="Garamond"/>
          <w:sz w:val="24"/>
          <w:szCs w:val="24"/>
        </w:rPr>
      </w:pPr>
      <w:r w:rsidRPr="003E6A25">
        <w:rPr>
          <w:rFonts w:ascii="Garamond" w:hAnsi="Garamond"/>
          <w:sz w:val="24"/>
          <w:szCs w:val="24"/>
        </w:rPr>
        <w:t>10.2. Imputabilidad</w:t>
      </w:r>
    </w:p>
    <w:p w14:paraId="7967B6DB" w14:textId="77777777" w:rsidR="00F353DB" w:rsidRPr="003E6A25" w:rsidRDefault="00F353DB" w:rsidP="00C46622">
      <w:pPr>
        <w:pStyle w:val="NormalWeb"/>
        <w:jc w:val="both"/>
        <w:rPr>
          <w:rFonts w:ascii="Garamond" w:hAnsi="Garamond"/>
        </w:rPr>
      </w:pPr>
      <w:r w:rsidRPr="003E6A25">
        <w:rPr>
          <w:rFonts w:ascii="Garamond" w:hAnsi="Garamond"/>
        </w:rPr>
        <w:t xml:space="preserve">La Administración encuentra acreditado que la </w:t>
      </w:r>
      <w:r w:rsidRPr="003E6A25">
        <w:rPr>
          <w:rFonts w:ascii="Garamond" w:hAnsi="Garamond"/>
          <w:b/>
          <w:bCs/>
        </w:rPr>
        <w:t>UNIÓN TEMPORAL BOLÍVAR</w:t>
      </w:r>
      <w:r w:rsidRPr="003E6A25">
        <w:rPr>
          <w:rFonts w:ascii="Garamond" w:hAnsi="Garamond"/>
        </w:rPr>
        <w:t xml:space="preserve"> contaba con el conocimiento de las obligaciones asumidas, disponía de los mecanismos contractuales para ejecutar el objeto dentro del plazo pactado y fue objeto de un seguimiento permanente por parte de la supervisión y la interventoría.</w:t>
      </w:r>
    </w:p>
    <w:p w14:paraId="1ADEE7D2" w14:textId="39E2E815" w:rsidR="00F353DB" w:rsidRPr="003E6A25" w:rsidRDefault="00F353DB" w:rsidP="00C46622">
      <w:pPr>
        <w:pStyle w:val="NormalWeb"/>
        <w:jc w:val="both"/>
        <w:rPr>
          <w:rFonts w:ascii="Garamond" w:hAnsi="Garamond"/>
        </w:rPr>
      </w:pPr>
      <w:r w:rsidRPr="003E6A25">
        <w:rPr>
          <w:rFonts w:ascii="Garamond" w:hAnsi="Garamond"/>
        </w:rPr>
        <w:t>Asimismo, tuvo la oportunidad de adoptar medidas correctivas, atender los requerimientos formulados por la Entidad y ejercer plenamente su derecho de defensa durante el procedimiento administrativo.</w:t>
      </w:r>
    </w:p>
    <w:p w14:paraId="0E39CB71" w14:textId="6D22BDCE" w:rsidR="00F353DB" w:rsidRPr="003E6A25" w:rsidRDefault="00F353DB" w:rsidP="002F47C3">
      <w:pPr>
        <w:pStyle w:val="NormalWeb"/>
        <w:jc w:val="both"/>
        <w:rPr>
          <w:rFonts w:ascii="Garamond" w:hAnsi="Garamond"/>
        </w:rPr>
      </w:pPr>
      <w:r w:rsidRPr="003E6A25">
        <w:rPr>
          <w:rFonts w:ascii="Garamond" w:hAnsi="Garamond"/>
        </w:rPr>
        <w:t>No obstante, las actuaciones desplegadas resultaron insuficientes para garantizar el cumplimiento integral del contrato, razón por la cual el incumplimiento verificado le resulta jurídicamente imputable.</w:t>
      </w:r>
    </w:p>
    <w:p w14:paraId="5A3E76CE" w14:textId="77777777" w:rsidR="00F353DB" w:rsidRPr="003E6A25" w:rsidRDefault="00F353DB" w:rsidP="00C46622">
      <w:pPr>
        <w:pStyle w:val="Ttulo2"/>
        <w:jc w:val="both"/>
        <w:rPr>
          <w:rFonts w:ascii="Garamond" w:hAnsi="Garamond"/>
          <w:sz w:val="24"/>
          <w:szCs w:val="24"/>
        </w:rPr>
      </w:pPr>
      <w:r w:rsidRPr="003E6A25">
        <w:rPr>
          <w:rFonts w:ascii="Garamond" w:hAnsi="Garamond"/>
          <w:sz w:val="24"/>
          <w:szCs w:val="24"/>
        </w:rPr>
        <w:t>10.3. Consecuencias jurídicas</w:t>
      </w:r>
    </w:p>
    <w:p w14:paraId="19C2795D" w14:textId="77777777" w:rsidR="00252F0C" w:rsidRDefault="00F353DB" w:rsidP="00C46622">
      <w:pPr>
        <w:pStyle w:val="NormalWeb"/>
        <w:jc w:val="both"/>
        <w:rPr>
          <w:rFonts w:ascii="Garamond" w:hAnsi="Garamond"/>
        </w:rPr>
      </w:pPr>
      <w:r w:rsidRPr="003E6A25">
        <w:rPr>
          <w:rFonts w:ascii="Garamond" w:hAnsi="Garamond"/>
        </w:rPr>
        <w:t>Acreditada la existencia del incumplimiento y su imputabilidad al contratista, procede hacer efectivas las consecuencias contractuales previstas en el Contrato de Obra Pública No. COP-859-2023, en particular la cláusula penal pecuniaria y el amparo de cumplimiento de la garantía única, en los términos establecidos en el contrato, la Ley 80 de 1993, la Ley 1150 de 2007 y el artículo 86 de la Ley 1474 de 2011.</w:t>
      </w:r>
    </w:p>
    <w:p w14:paraId="1A3A21E8" w14:textId="77777777" w:rsidR="00252F0C" w:rsidRDefault="00F353DB" w:rsidP="00252F0C">
      <w:pPr>
        <w:pStyle w:val="NormalWeb"/>
        <w:jc w:val="both"/>
        <w:rPr>
          <w:rFonts w:ascii="Garamond" w:hAnsi="Garamond"/>
        </w:rPr>
      </w:pPr>
      <w:r w:rsidRPr="003E6A25">
        <w:rPr>
          <w:rFonts w:ascii="Garamond" w:hAnsi="Garamond"/>
        </w:rPr>
        <w:t>La adopción de estas medidas no tiene un carácter discrecional, sino que constituye el efecto jurídico derivado del incumplimiento acreditado, orientado a salvaguardar el interés público y a proteger los recursos de la Entidad.</w:t>
      </w:r>
    </w:p>
    <w:p w14:paraId="605BF1AE" w14:textId="77777777" w:rsidR="00DB036C" w:rsidRDefault="006F4053" w:rsidP="00DB036C">
      <w:pPr>
        <w:pStyle w:val="NormalWeb"/>
        <w:jc w:val="both"/>
        <w:rPr>
          <w:rFonts w:ascii="Garamond" w:hAnsi="Garamond"/>
          <w:b/>
          <w:bCs/>
        </w:rPr>
      </w:pPr>
      <w:r w:rsidRPr="003E6A25">
        <w:rPr>
          <w:rFonts w:ascii="Garamond" w:hAnsi="Garamond"/>
          <w:b/>
          <w:bCs/>
        </w:rPr>
        <w:t>XI. CONFIGURACIÓN DEL INCUMPLIMIENTO CONTRACTUAL</w:t>
      </w:r>
    </w:p>
    <w:p w14:paraId="0CBE648F" w14:textId="27681E37" w:rsidR="006F4053" w:rsidRPr="00DB036C" w:rsidRDefault="006F4053" w:rsidP="00DB036C">
      <w:pPr>
        <w:pStyle w:val="NormalWeb"/>
        <w:jc w:val="both"/>
        <w:rPr>
          <w:rFonts w:ascii="Garamond" w:hAnsi="Garamond"/>
          <w:b/>
          <w:bCs/>
        </w:rPr>
      </w:pPr>
      <w:r w:rsidRPr="00DB036C">
        <w:rPr>
          <w:rFonts w:ascii="Garamond" w:hAnsi="Garamond"/>
          <w:b/>
          <w:bCs/>
        </w:rPr>
        <w:t>11.1. Naturaleza del incumplimiento acreditado</w:t>
      </w:r>
    </w:p>
    <w:p w14:paraId="1991DE79" w14:textId="77777777" w:rsidR="00DB036C" w:rsidRDefault="00DB036C" w:rsidP="00C46622">
      <w:pPr>
        <w:pStyle w:val="NormalWeb"/>
        <w:jc w:val="both"/>
        <w:rPr>
          <w:rFonts w:ascii="Garamond" w:hAnsi="Garamond"/>
        </w:rPr>
      </w:pPr>
    </w:p>
    <w:p w14:paraId="7F246A55" w14:textId="425387E9" w:rsidR="006F4053" w:rsidRPr="003E6A25" w:rsidRDefault="006F4053" w:rsidP="00C46622">
      <w:pPr>
        <w:pStyle w:val="NormalWeb"/>
        <w:jc w:val="both"/>
        <w:rPr>
          <w:rFonts w:ascii="Garamond" w:hAnsi="Garamond"/>
        </w:rPr>
      </w:pPr>
      <w:r w:rsidRPr="003E6A25">
        <w:rPr>
          <w:rFonts w:ascii="Garamond" w:hAnsi="Garamond"/>
        </w:rPr>
        <w:t>Del análisis integral de los antecedentes contractuales, del desarrollo de la ejecución, de las pruebas recaudadas y de los argumentos expuestos por las partes durante el procedimiento administrativo, este Despacho concluye que el incumplimiento objeto de la presente decisión recae sobre obligaciones esenciales derivadas del Contrato de Obra Pública No. COP-859-2023.</w:t>
      </w:r>
    </w:p>
    <w:p w14:paraId="33103B69" w14:textId="0C107FDB" w:rsidR="006F4053" w:rsidRPr="003E6A25" w:rsidRDefault="006F4053" w:rsidP="00C46622">
      <w:pPr>
        <w:pStyle w:val="NormalWeb"/>
        <w:jc w:val="both"/>
        <w:rPr>
          <w:rFonts w:ascii="Garamond" w:hAnsi="Garamond"/>
        </w:rPr>
      </w:pPr>
      <w:r w:rsidRPr="003E6A25">
        <w:rPr>
          <w:rFonts w:ascii="Garamond" w:hAnsi="Garamond"/>
        </w:rPr>
        <w:t>No se trata de una diferencia de interpretación sobre aspectos técnicos del contrato ni de una controversia relacionada con la calidad de determinadas actividades ejecutadas. Lo que se encuentra acreditado es la inejecución de una parte sustancial del objeto contractual dentro del plazo convenido, circunstancia que impidió el cumplimiento integral de las prestaciones asumidas por el contratista y frustró la finalidad pública perseguida mediante la contratación.</w:t>
      </w:r>
    </w:p>
    <w:p w14:paraId="4A5F1076" w14:textId="4AA72B1B" w:rsidR="006F4053" w:rsidRPr="003E6A25" w:rsidRDefault="006F4053" w:rsidP="002F47C3">
      <w:pPr>
        <w:pStyle w:val="NormalWeb"/>
        <w:jc w:val="both"/>
        <w:rPr>
          <w:rFonts w:ascii="Garamond" w:hAnsi="Garamond"/>
        </w:rPr>
      </w:pPr>
      <w:r w:rsidRPr="003E6A25">
        <w:rPr>
          <w:rFonts w:ascii="Garamond" w:hAnsi="Garamond"/>
        </w:rPr>
        <w:t>En ese sentido, el incumplimiento verificado reviste la entidad suficiente para comprometer la responsabilidad contractual del contratista y activar las consecuencias previstas en el contrato y en la ley.</w:t>
      </w:r>
    </w:p>
    <w:p w14:paraId="3C0758DB"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11.2. El incumplimiento de obligaciones esenciales</w:t>
      </w:r>
    </w:p>
    <w:p w14:paraId="00E8A92C" w14:textId="77777777" w:rsidR="006F4053" w:rsidRPr="003E6A25" w:rsidRDefault="006F4053" w:rsidP="00C46622">
      <w:pPr>
        <w:pStyle w:val="NormalWeb"/>
        <w:jc w:val="both"/>
        <w:rPr>
          <w:rFonts w:ascii="Garamond" w:hAnsi="Garamond"/>
        </w:rPr>
      </w:pPr>
      <w:r w:rsidRPr="003E6A25">
        <w:rPr>
          <w:rFonts w:ascii="Garamond" w:hAnsi="Garamond"/>
        </w:rPr>
        <w:t>La Administración considera necesario precisar que no todo incumplimiento contractual genera automáticamente la procedencia de las consecuencias sancionatorias previstas en la ley y en el contrato.</w:t>
      </w:r>
    </w:p>
    <w:p w14:paraId="78AEA7C4" w14:textId="77777777" w:rsidR="006F4053" w:rsidRPr="003E6A25" w:rsidRDefault="006F4053" w:rsidP="00C46622">
      <w:pPr>
        <w:pStyle w:val="NormalWeb"/>
        <w:jc w:val="both"/>
        <w:rPr>
          <w:rFonts w:ascii="Garamond" w:hAnsi="Garamond"/>
        </w:rPr>
      </w:pPr>
      <w:r w:rsidRPr="003E6A25">
        <w:rPr>
          <w:rFonts w:ascii="Garamond" w:hAnsi="Garamond"/>
        </w:rPr>
        <w:t>Corresponde a la Entidad establecer si las obligaciones incumplidas tienen carácter esencial dentro de la economía del negocio jurídico y si su inobservancia afecta de manera significativa la finalidad perseguida con la contratación.</w:t>
      </w:r>
    </w:p>
    <w:p w14:paraId="167FA88E" w14:textId="77777777" w:rsidR="00252F0C" w:rsidRDefault="006F4053" w:rsidP="00C46622">
      <w:pPr>
        <w:pStyle w:val="NormalWeb"/>
        <w:jc w:val="both"/>
        <w:rPr>
          <w:rFonts w:ascii="Garamond" w:hAnsi="Garamond"/>
        </w:rPr>
      </w:pPr>
      <w:r w:rsidRPr="003E6A25">
        <w:rPr>
          <w:rFonts w:ascii="Garamond" w:hAnsi="Garamond"/>
        </w:rPr>
        <w:t xml:space="preserve">En el presente caso, las obligaciones asumidas por la </w:t>
      </w:r>
      <w:r w:rsidRPr="003E6A25">
        <w:rPr>
          <w:rFonts w:ascii="Garamond" w:hAnsi="Garamond"/>
          <w:b/>
          <w:bCs/>
        </w:rPr>
        <w:t>UNIÓN TEMPORAL BOLÍVAR</w:t>
      </w:r>
      <w:r w:rsidRPr="003E6A25">
        <w:rPr>
          <w:rFonts w:ascii="Garamond" w:hAnsi="Garamond"/>
        </w:rPr>
        <w:t xml:space="preserve"> consistían en ejecutar integralmente las obras de mejoramiento de vivienda dentro del plazo </w:t>
      </w:r>
    </w:p>
    <w:p w14:paraId="2EE71501" w14:textId="77777777" w:rsidR="004E5186" w:rsidRDefault="006F4053" w:rsidP="00C46622">
      <w:pPr>
        <w:pStyle w:val="NormalWeb"/>
        <w:jc w:val="both"/>
        <w:rPr>
          <w:rFonts w:ascii="Garamond" w:hAnsi="Garamond"/>
        </w:rPr>
      </w:pPr>
      <w:r w:rsidRPr="003E6A25">
        <w:rPr>
          <w:rFonts w:ascii="Garamond" w:hAnsi="Garamond"/>
        </w:rPr>
        <w:t>pactado, observando las especificaciones técnicas, la programación aprobada y las instrucciones impartidas por la supervisión y la interventoría.</w:t>
      </w:r>
    </w:p>
    <w:p w14:paraId="26F1D194" w14:textId="77777777" w:rsidR="00DB036C" w:rsidRDefault="00DB036C" w:rsidP="00C46622">
      <w:pPr>
        <w:pStyle w:val="NormalWeb"/>
        <w:jc w:val="both"/>
        <w:rPr>
          <w:rFonts w:ascii="Garamond" w:hAnsi="Garamond"/>
        </w:rPr>
      </w:pPr>
    </w:p>
    <w:p w14:paraId="2FE46017" w14:textId="77777777" w:rsidR="00DB036C" w:rsidRDefault="00DB036C" w:rsidP="00C46622">
      <w:pPr>
        <w:pStyle w:val="NormalWeb"/>
        <w:jc w:val="both"/>
        <w:rPr>
          <w:rFonts w:ascii="Garamond" w:hAnsi="Garamond"/>
        </w:rPr>
      </w:pPr>
    </w:p>
    <w:p w14:paraId="0D6647BF" w14:textId="2601D8BC" w:rsidR="006F4053" w:rsidRPr="003E6A25" w:rsidRDefault="006F4053" w:rsidP="00C46622">
      <w:pPr>
        <w:pStyle w:val="NormalWeb"/>
        <w:jc w:val="both"/>
        <w:rPr>
          <w:rFonts w:ascii="Garamond" w:hAnsi="Garamond"/>
        </w:rPr>
      </w:pPr>
      <w:r w:rsidRPr="003E6A25">
        <w:rPr>
          <w:rFonts w:ascii="Garamond" w:hAnsi="Garamond"/>
        </w:rPr>
        <w:t>La prueba recaudada demuestra que dichas obligaciones no fueron satisfechas en su totalidad, pues al vencimiento del término contractual permanecía pendiente la ejecución de una parte significativa del objeto contratado, circunstancia que impidió la entrega completa de las obras previstas y afectó directamente el cumplimiento del programa público que dio origen al contrato.</w:t>
      </w:r>
    </w:p>
    <w:p w14:paraId="1F2BF565" w14:textId="762127B7" w:rsidR="006F4053" w:rsidRPr="003E6A25" w:rsidRDefault="006F4053" w:rsidP="002F47C3">
      <w:pPr>
        <w:pStyle w:val="NormalWeb"/>
        <w:jc w:val="both"/>
        <w:rPr>
          <w:rFonts w:ascii="Garamond" w:hAnsi="Garamond"/>
        </w:rPr>
      </w:pPr>
      <w:r w:rsidRPr="003E6A25">
        <w:rPr>
          <w:rFonts w:ascii="Garamond" w:hAnsi="Garamond"/>
        </w:rPr>
        <w:t>Por consiguiente, el incumplimiento no recae sobre aspectos accesorios o de menor relevancia, sino sobre obligaciones principales que constituyen la esencia misma del contrato.</w:t>
      </w:r>
    </w:p>
    <w:p w14:paraId="7471E853" w14:textId="79CEFE10"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11.3. Inexistencia de causales exonerativas de responsabilidad</w:t>
      </w:r>
    </w:p>
    <w:p w14:paraId="50EAA0AD" w14:textId="77777777" w:rsidR="006F4053" w:rsidRPr="003E6A25" w:rsidRDefault="006F4053" w:rsidP="00C46622">
      <w:pPr>
        <w:pStyle w:val="NormalWeb"/>
        <w:jc w:val="both"/>
        <w:rPr>
          <w:rFonts w:ascii="Garamond" w:hAnsi="Garamond"/>
        </w:rPr>
      </w:pPr>
      <w:r w:rsidRPr="003E6A25">
        <w:rPr>
          <w:rFonts w:ascii="Garamond" w:hAnsi="Garamond"/>
        </w:rPr>
        <w:t>Durante el procedimiento administrativo el contratista expuso diversas circunstancias que, a su juicio, justificaban el estado de ejecución del contrato.</w:t>
      </w:r>
    </w:p>
    <w:p w14:paraId="5422F5AC" w14:textId="77777777" w:rsidR="006F4053" w:rsidRPr="003E6A25" w:rsidRDefault="006F4053" w:rsidP="00C46622">
      <w:pPr>
        <w:pStyle w:val="NormalWeb"/>
        <w:jc w:val="both"/>
        <w:rPr>
          <w:rFonts w:ascii="Garamond" w:hAnsi="Garamond"/>
        </w:rPr>
      </w:pPr>
      <w:r w:rsidRPr="003E6A25">
        <w:rPr>
          <w:rFonts w:ascii="Garamond" w:hAnsi="Garamond"/>
        </w:rPr>
        <w:t>No obstante, una vez valoradas dichas manifestaciones en conjunto con el material probatorio obrante en el expediente, este Despacho no encuentra acreditada la existencia de circunstancias constitutivas de fuerza mayor, caso fortuito, hecho exclusivo de un tercero o hecho exclusivo de la Administración que permitan excluir la responsabilidad contractual.</w:t>
      </w:r>
    </w:p>
    <w:p w14:paraId="5C37A5BE" w14:textId="77777777" w:rsidR="006F4053" w:rsidRPr="003E6A25" w:rsidRDefault="006F4053" w:rsidP="00C46622">
      <w:pPr>
        <w:pStyle w:val="NormalWeb"/>
        <w:jc w:val="both"/>
        <w:rPr>
          <w:rFonts w:ascii="Garamond" w:hAnsi="Garamond"/>
        </w:rPr>
      </w:pPr>
      <w:r w:rsidRPr="003E6A25">
        <w:rPr>
          <w:rFonts w:ascii="Garamond" w:hAnsi="Garamond"/>
        </w:rPr>
        <w:t>Tampoco obra prueba que demuestre la imposibilidad absoluta e irresistible de ejecutar las obligaciones contractuales dentro del plazo pactado, ni evidencia de actuaciones de la Entidad que hubiesen impedido objetivamente la ejecución del contrato.</w:t>
      </w:r>
    </w:p>
    <w:p w14:paraId="56DD9C7F" w14:textId="77777777" w:rsidR="002F47C3" w:rsidRPr="003E6A25" w:rsidRDefault="006F4053" w:rsidP="002F47C3">
      <w:pPr>
        <w:pStyle w:val="NormalWeb"/>
        <w:jc w:val="both"/>
        <w:rPr>
          <w:rFonts w:ascii="Garamond" w:hAnsi="Garamond"/>
        </w:rPr>
      </w:pPr>
      <w:r w:rsidRPr="003E6A25">
        <w:rPr>
          <w:rFonts w:ascii="Garamond" w:hAnsi="Garamond"/>
        </w:rPr>
        <w:t>En consecuencia, las circunstancias alegadas por la defensa no tienen la virtualidad de romper el nexo de imputación existente entre la conducta del contratista y el incumplimiento verificado.</w:t>
      </w:r>
    </w:p>
    <w:p w14:paraId="2FEEEEC0" w14:textId="1077534E"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w:t>
      </w:r>
      <w:r w:rsidR="0098140A">
        <w:rPr>
          <w:rFonts w:ascii="Garamond" w:hAnsi="Garamond"/>
          <w:sz w:val="24"/>
          <w:szCs w:val="24"/>
        </w:rPr>
        <w:t>4</w:t>
      </w:r>
      <w:r w:rsidRPr="003E6A25">
        <w:rPr>
          <w:rFonts w:ascii="Garamond" w:hAnsi="Garamond"/>
          <w:sz w:val="24"/>
          <w:szCs w:val="24"/>
        </w:rPr>
        <w:t>. La conducta desplegada por la Administración</w:t>
      </w:r>
    </w:p>
    <w:p w14:paraId="7C4A1669" w14:textId="77777777" w:rsidR="006F4053" w:rsidRPr="003E6A25" w:rsidRDefault="006F4053" w:rsidP="00C46622">
      <w:pPr>
        <w:pStyle w:val="NormalWeb"/>
        <w:jc w:val="both"/>
        <w:rPr>
          <w:rFonts w:ascii="Garamond" w:hAnsi="Garamond"/>
        </w:rPr>
      </w:pPr>
      <w:r w:rsidRPr="003E6A25">
        <w:rPr>
          <w:rFonts w:ascii="Garamond" w:hAnsi="Garamond"/>
        </w:rPr>
        <w:t>Este Despacho encuentra igualmente acreditado que el Fondo de Desarrollo Local de Ciudad Bolívar actuó de manera diligente durante toda la ejecución contractual.</w:t>
      </w:r>
    </w:p>
    <w:p w14:paraId="302C8F33" w14:textId="77777777" w:rsidR="00DB036C" w:rsidRDefault="00DB036C" w:rsidP="00C46622">
      <w:pPr>
        <w:pStyle w:val="NormalWeb"/>
        <w:jc w:val="both"/>
        <w:rPr>
          <w:rFonts w:ascii="Garamond" w:hAnsi="Garamond"/>
        </w:rPr>
      </w:pPr>
    </w:p>
    <w:p w14:paraId="648E034E" w14:textId="77777777" w:rsidR="00DB036C" w:rsidRDefault="00DB036C" w:rsidP="00C46622">
      <w:pPr>
        <w:pStyle w:val="NormalWeb"/>
        <w:jc w:val="both"/>
        <w:rPr>
          <w:rFonts w:ascii="Garamond" w:hAnsi="Garamond"/>
        </w:rPr>
      </w:pPr>
    </w:p>
    <w:p w14:paraId="414AB21B" w14:textId="387E68FA" w:rsidR="006F4053" w:rsidRPr="003E6A25" w:rsidRDefault="006F4053" w:rsidP="00C46622">
      <w:pPr>
        <w:pStyle w:val="NormalWeb"/>
        <w:jc w:val="both"/>
        <w:rPr>
          <w:rFonts w:ascii="Garamond" w:hAnsi="Garamond"/>
        </w:rPr>
      </w:pPr>
      <w:r w:rsidRPr="003E6A25">
        <w:rPr>
          <w:rFonts w:ascii="Garamond" w:hAnsi="Garamond"/>
        </w:rPr>
        <w:t>La Entidad ejerció de forma permanente las funciones de supervisión y control, promovió espacios de seguimiento, formuló requerimientos escritos, ordenó visitas técnicas, evaluó las solicitudes presentadas por el contratista y adoptó las decisiones administrativas necesarias para procurar el cumplimiento del objeto contractual.</w:t>
      </w:r>
    </w:p>
    <w:p w14:paraId="699F884D" w14:textId="77777777" w:rsidR="006F4053" w:rsidRPr="003E6A25" w:rsidRDefault="006F4053" w:rsidP="00C46622">
      <w:pPr>
        <w:pStyle w:val="NormalWeb"/>
        <w:jc w:val="both"/>
        <w:rPr>
          <w:rFonts w:ascii="Garamond" w:hAnsi="Garamond"/>
        </w:rPr>
      </w:pPr>
      <w:r w:rsidRPr="003E6A25">
        <w:rPr>
          <w:rFonts w:ascii="Garamond" w:hAnsi="Garamond"/>
        </w:rPr>
        <w:t>En ningún momento la Administración permaneció inactiva frente a las dificultades advertidas durante la ejecución, ni omitió el ejercicio de las competencias que le correspondían como entidad contratante.</w:t>
      </w:r>
    </w:p>
    <w:p w14:paraId="283CF1A7" w14:textId="77777777" w:rsidR="006F4053" w:rsidRPr="003E6A25" w:rsidRDefault="006F4053" w:rsidP="00C46622">
      <w:pPr>
        <w:pStyle w:val="NormalWeb"/>
        <w:jc w:val="both"/>
        <w:rPr>
          <w:rFonts w:ascii="Garamond" w:hAnsi="Garamond"/>
        </w:rPr>
      </w:pPr>
      <w:r w:rsidRPr="003E6A25">
        <w:rPr>
          <w:rFonts w:ascii="Garamond" w:hAnsi="Garamond"/>
        </w:rPr>
        <w:t>Por el contrario, las actuaciones desplegadas evidencian que la declaratoria de incumplimiento constituye la última medida adoptada por la Entidad, una vez agotadas las alternativas orientadas a lograr el cumplimiento voluntario del contrato.</w:t>
      </w:r>
    </w:p>
    <w:p w14:paraId="792005F8" w14:textId="04410448" w:rsidR="006F4053" w:rsidRPr="003E6A25" w:rsidRDefault="006F4053" w:rsidP="00C46622">
      <w:pPr>
        <w:pStyle w:val="Ttulo2"/>
        <w:jc w:val="both"/>
        <w:rPr>
          <w:rFonts w:ascii="Garamond" w:hAnsi="Garamond"/>
          <w:sz w:val="24"/>
          <w:szCs w:val="24"/>
        </w:rPr>
      </w:pPr>
      <w:r w:rsidRPr="003E6A25">
        <w:rPr>
          <w:rFonts w:ascii="Garamond" w:hAnsi="Garamond"/>
          <w:sz w:val="24"/>
          <w:szCs w:val="24"/>
        </w:rPr>
        <w:t>11.</w:t>
      </w:r>
      <w:r w:rsidR="0098140A">
        <w:rPr>
          <w:rFonts w:ascii="Garamond" w:hAnsi="Garamond"/>
          <w:sz w:val="24"/>
          <w:szCs w:val="24"/>
        </w:rPr>
        <w:t>5</w:t>
      </w:r>
      <w:r w:rsidRPr="003E6A25">
        <w:rPr>
          <w:rFonts w:ascii="Garamond" w:hAnsi="Garamond"/>
          <w:sz w:val="24"/>
          <w:szCs w:val="24"/>
        </w:rPr>
        <w:t>. Conclusión sobre la configuración del incumplimiento</w:t>
      </w:r>
    </w:p>
    <w:p w14:paraId="4C6136DA" w14:textId="4D4DF873" w:rsidR="00951262" w:rsidRDefault="006F4053" w:rsidP="00C46622">
      <w:pPr>
        <w:pStyle w:val="NormalWeb"/>
        <w:jc w:val="both"/>
        <w:rPr>
          <w:rFonts w:ascii="Garamond" w:hAnsi="Garamond"/>
        </w:rPr>
      </w:pPr>
      <w:r w:rsidRPr="003E6A25">
        <w:rPr>
          <w:rFonts w:ascii="Garamond" w:hAnsi="Garamond"/>
        </w:rPr>
        <w:t>Con fundamento en las consideraciones expuestas, este Despacho concluye que concurren los elementos necesarios para declarar el incumplimiento del Contrato de Obra Pública No. COP-859-2023.</w:t>
      </w:r>
    </w:p>
    <w:p w14:paraId="65403CED" w14:textId="1B133EE9" w:rsidR="006F4053" w:rsidRPr="003E6A25" w:rsidRDefault="006F4053" w:rsidP="00C46622">
      <w:pPr>
        <w:pStyle w:val="NormalWeb"/>
        <w:jc w:val="both"/>
        <w:rPr>
          <w:rFonts w:ascii="Garamond" w:hAnsi="Garamond"/>
        </w:rPr>
      </w:pPr>
      <w:r w:rsidRPr="003E6A25">
        <w:rPr>
          <w:rFonts w:ascii="Garamond" w:hAnsi="Garamond"/>
        </w:rPr>
        <w:t>La prueba recaudada acredita la existencia de obligaciones contractuales claras, la inejecución de una parte sustancial del objeto contratado dentro del plazo pactado, la imputabilidad de dicha situación al contratista y la inexistencia de circunstancias que excluyan su responsabilidad.</w:t>
      </w:r>
    </w:p>
    <w:p w14:paraId="0B248437" w14:textId="77777777" w:rsidR="0078327C" w:rsidRDefault="006F4053" w:rsidP="0078327C">
      <w:pPr>
        <w:pStyle w:val="NormalWeb"/>
        <w:jc w:val="both"/>
        <w:rPr>
          <w:rFonts w:ascii="Garamond" w:hAnsi="Garamond"/>
        </w:rPr>
      </w:pPr>
      <w:r w:rsidRPr="003E6A25">
        <w:rPr>
          <w:rFonts w:ascii="Garamond" w:hAnsi="Garamond"/>
        </w:rPr>
        <w:t>En consecuencia, la Administración encuentra plenamente configurados los presupuestos previstos en el contrato y en el artículo 86 de la Ley 1474 de 2011 para adoptar las consecuencias jurídicas derivadas del incumplimiento acreditado.</w:t>
      </w:r>
    </w:p>
    <w:p w14:paraId="0CC70AD1" w14:textId="3ACAA4E4" w:rsidR="006F4053" w:rsidRPr="0078327C" w:rsidRDefault="006F4053" w:rsidP="0078327C">
      <w:pPr>
        <w:pStyle w:val="NormalWeb"/>
        <w:jc w:val="both"/>
        <w:rPr>
          <w:rFonts w:ascii="Garamond" w:hAnsi="Garamond"/>
        </w:rPr>
      </w:pPr>
      <w:r w:rsidRPr="003E6A25">
        <w:rPr>
          <w:rFonts w:ascii="Garamond" w:hAnsi="Garamond"/>
          <w:b/>
          <w:bCs/>
          <w:color w:val="000000" w:themeColor="text1"/>
        </w:rPr>
        <w:t>XII. PROCEDENCIA DE LA CLÁUSULA PENAL PECUNIARIA</w:t>
      </w:r>
    </w:p>
    <w:p w14:paraId="3FC4BDFC" w14:textId="77777777" w:rsidR="0078327C" w:rsidRDefault="0078327C" w:rsidP="00C46622">
      <w:pPr>
        <w:pStyle w:val="Ttulo2"/>
        <w:jc w:val="both"/>
        <w:rPr>
          <w:rFonts w:ascii="Garamond" w:hAnsi="Garamond"/>
          <w:sz w:val="24"/>
          <w:szCs w:val="24"/>
        </w:rPr>
      </w:pPr>
    </w:p>
    <w:p w14:paraId="4AF6BB42" w14:textId="12F0ED1A"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12.1. Naturaleza jurídica de la cláusula penal pecuniaria</w:t>
      </w:r>
    </w:p>
    <w:p w14:paraId="767AA9D1" w14:textId="77777777" w:rsidR="006F4053" w:rsidRPr="003E6A25" w:rsidRDefault="006F4053" w:rsidP="00C46622">
      <w:pPr>
        <w:pStyle w:val="NormalWeb"/>
        <w:jc w:val="both"/>
        <w:rPr>
          <w:rFonts w:ascii="Garamond" w:hAnsi="Garamond"/>
        </w:rPr>
      </w:pPr>
      <w:r w:rsidRPr="003E6A25">
        <w:rPr>
          <w:rFonts w:ascii="Garamond" w:hAnsi="Garamond"/>
        </w:rPr>
        <w:t>La cláusula penal pecuniaria constituye un mecanismo contractual previamente convenido por las partes, mediante el cual se establece una estimación anticipada de los perjuicios que eventualmente pueda ocasionar el incumplimiento de las obligaciones asumidas por el contratista.</w:t>
      </w:r>
    </w:p>
    <w:p w14:paraId="5AD1A4C5" w14:textId="77777777" w:rsidR="006F4053" w:rsidRPr="003E6A25" w:rsidRDefault="006F4053" w:rsidP="00C46622">
      <w:pPr>
        <w:pStyle w:val="NormalWeb"/>
        <w:jc w:val="both"/>
        <w:rPr>
          <w:rFonts w:ascii="Garamond" w:hAnsi="Garamond"/>
        </w:rPr>
      </w:pPr>
      <w:r w:rsidRPr="003E6A25">
        <w:rPr>
          <w:rFonts w:ascii="Garamond" w:hAnsi="Garamond"/>
        </w:rPr>
        <w:t>En el ámbito de la contratación estatal, dicha estipulación no tiene una finalidad exclusivamente sancionatoria. Su incorporación responde a la necesidad de proteger el interés público comprometido con la ejecución del contrato, desestimular el incumplimiento de las obligaciones contractuales y garantizar a la Administración un mecanismo eficaz para resarcir los perjuicios derivados de la inejecución o ejecución defectuosa del objeto contratado.</w:t>
      </w:r>
    </w:p>
    <w:p w14:paraId="34DD2AF4" w14:textId="77777777" w:rsidR="00252F0C" w:rsidRDefault="006F4053" w:rsidP="002F47C3">
      <w:pPr>
        <w:pStyle w:val="NormalWeb"/>
        <w:jc w:val="both"/>
        <w:rPr>
          <w:rFonts w:ascii="Garamond" w:hAnsi="Garamond"/>
        </w:rPr>
      </w:pPr>
      <w:r w:rsidRPr="003E6A25">
        <w:rPr>
          <w:rFonts w:ascii="Garamond" w:hAnsi="Garamond"/>
        </w:rPr>
        <w:t>Su aplicación encuentra fundamento tanto en el principio de autonomía de la voluntad como en las facultades excepcionales reconocidas a las entidades estatales para asegurar el cumplimiento de los contratos celebrados con recursos públicos.</w:t>
      </w:r>
    </w:p>
    <w:p w14:paraId="240EA95A" w14:textId="5D6989ED" w:rsidR="006F4053" w:rsidRPr="003E6A25" w:rsidRDefault="006F4053" w:rsidP="002F47C3">
      <w:pPr>
        <w:pStyle w:val="NormalWeb"/>
        <w:jc w:val="both"/>
        <w:rPr>
          <w:rFonts w:ascii="Garamond" w:hAnsi="Garamond"/>
        </w:rPr>
      </w:pPr>
      <w:r w:rsidRPr="003E6A25">
        <w:rPr>
          <w:rFonts w:ascii="Garamond" w:hAnsi="Garamond"/>
        </w:rPr>
        <w:t>En consecuencia, cuando se acredita objetivamente el incumplimiento imputable al contratista y el contrato prevé expresamente la aplicación de la cláusula penal, la Administración se encuentra facultada para hacerla efectiva mediante el procedimiento establecido en el artículo 86 de la Ley 1474 de 2011, siempre que se garantice el debido proceso y exista una motivación suficiente de la decisión.</w:t>
      </w:r>
    </w:p>
    <w:p w14:paraId="61839AA4" w14:textId="48822A9A"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12.2. La cláusula penal pactada en el Contrato COP-859-2023</w:t>
      </w:r>
    </w:p>
    <w:p w14:paraId="10D06138" w14:textId="4C381FC2" w:rsidR="006F4053" w:rsidRPr="003E6A25" w:rsidRDefault="006F4053" w:rsidP="00C46622">
      <w:pPr>
        <w:pStyle w:val="NormalWeb"/>
        <w:jc w:val="both"/>
        <w:rPr>
          <w:rFonts w:ascii="Garamond" w:hAnsi="Garamond"/>
        </w:rPr>
      </w:pPr>
      <w:r w:rsidRPr="003E6A25">
        <w:rPr>
          <w:rFonts w:ascii="Garamond" w:hAnsi="Garamond"/>
        </w:rPr>
        <w:t>En el Contrato de Obra Pública No. COP-859-2023 las partes acordaron expresamente una cláusula penal pecuniaria destinada a amparar los perjuicios derivados del incumplimiento de las obligaciones contractuales</w:t>
      </w:r>
      <w:r w:rsidR="009503BD">
        <w:rPr>
          <w:rFonts w:ascii="Garamond" w:hAnsi="Garamond"/>
        </w:rPr>
        <w:t xml:space="preserve">, </w:t>
      </w:r>
      <w:r w:rsidR="0098140A" w:rsidRPr="0098140A">
        <w:rPr>
          <w:rFonts w:ascii="Garamond" w:hAnsi="Garamond"/>
        </w:rPr>
        <w:t>Equivalente al veinte por ciento (20%) del valor del contrato.</w:t>
      </w:r>
    </w:p>
    <w:p w14:paraId="44D2AB82" w14:textId="77777777" w:rsidR="00DB036C" w:rsidRDefault="00DB036C" w:rsidP="00C46622">
      <w:pPr>
        <w:pStyle w:val="NormalWeb"/>
        <w:jc w:val="both"/>
        <w:rPr>
          <w:rFonts w:ascii="Garamond" w:hAnsi="Garamond"/>
        </w:rPr>
      </w:pPr>
    </w:p>
    <w:p w14:paraId="676FD4BA" w14:textId="77777777" w:rsidR="00DB036C" w:rsidRDefault="00DB036C" w:rsidP="00C46622">
      <w:pPr>
        <w:pStyle w:val="NormalWeb"/>
        <w:jc w:val="both"/>
        <w:rPr>
          <w:rFonts w:ascii="Garamond" w:hAnsi="Garamond"/>
        </w:rPr>
      </w:pPr>
    </w:p>
    <w:p w14:paraId="252E5A71" w14:textId="610A6920" w:rsidR="006F4053" w:rsidRPr="003E6A25" w:rsidRDefault="006F4053" w:rsidP="00C46622">
      <w:pPr>
        <w:pStyle w:val="NormalWeb"/>
        <w:jc w:val="both"/>
        <w:rPr>
          <w:rFonts w:ascii="Garamond" w:hAnsi="Garamond"/>
        </w:rPr>
      </w:pPr>
      <w:r w:rsidRPr="003E6A25">
        <w:rPr>
          <w:rFonts w:ascii="Garamond" w:hAnsi="Garamond"/>
        </w:rPr>
        <w:t>Dicha estipulación fue aceptada libremente por el contratista al presentar su propuesta y suscribir el contrato, razón por la cual integra el contenido obligacional del negocio jurídico y resulta vinculante para las partes.</w:t>
      </w:r>
    </w:p>
    <w:p w14:paraId="6D23358E" w14:textId="6CDAE837" w:rsidR="006F4053" w:rsidRPr="003E6A25" w:rsidRDefault="006F4053" w:rsidP="002F47C3">
      <w:pPr>
        <w:pStyle w:val="NormalWeb"/>
        <w:jc w:val="both"/>
        <w:rPr>
          <w:rFonts w:ascii="Garamond" w:hAnsi="Garamond"/>
        </w:rPr>
      </w:pPr>
      <w:r w:rsidRPr="003E6A25">
        <w:rPr>
          <w:rFonts w:ascii="Garamond" w:hAnsi="Garamond"/>
        </w:rPr>
        <w:t>En consecuencia, la eventual aplicación de la cláusula penal no constituye una modificación unilateral del contrato ni una consecuencia imprevista para el contratista, sino el desarrollo de una obligación previamente aceptada dentro del marco de la autonomía contractual y del régimen jurídico aplicable a la contratación estatal.</w:t>
      </w:r>
    </w:p>
    <w:p w14:paraId="7ACA72E8"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12.3. Presupuestos para su aplicación</w:t>
      </w:r>
    </w:p>
    <w:p w14:paraId="43A724E5" w14:textId="77777777" w:rsidR="006F4053" w:rsidRPr="003E6A25" w:rsidRDefault="006F4053" w:rsidP="00C46622">
      <w:pPr>
        <w:pStyle w:val="NormalWeb"/>
        <w:jc w:val="both"/>
        <w:rPr>
          <w:rFonts w:ascii="Garamond" w:hAnsi="Garamond"/>
        </w:rPr>
      </w:pPr>
      <w:r w:rsidRPr="003E6A25">
        <w:rPr>
          <w:rFonts w:ascii="Garamond" w:hAnsi="Garamond"/>
        </w:rPr>
        <w:t>Del análisis del expediente administrativo este Despacho encuentra acreditados los presupuestos que habilitan la aplicación de la cláusula penal pecuniaria.</w:t>
      </w:r>
    </w:p>
    <w:p w14:paraId="7E3F2D58" w14:textId="77777777" w:rsidR="006F4053" w:rsidRPr="003E6A25" w:rsidRDefault="006F4053" w:rsidP="00C46622">
      <w:pPr>
        <w:pStyle w:val="NormalWeb"/>
        <w:jc w:val="both"/>
        <w:rPr>
          <w:rFonts w:ascii="Garamond" w:hAnsi="Garamond"/>
        </w:rPr>
      </w:pPr>
      <w:r w:rsidRPr="003E6A25">
        <w:rPr>
          <w:rFonts w:ascii="Garamond" w:hAnsi="Garamond"/>
        </w:rPr>
        <w:t>En primer lugar, existe un contrato estatal válidamente celebrado que incorpora expresamente dicha estipulación.</w:t>
      </w:r>
    </w:p>
    <w:p w14:paraId="259E640E" w14:textId="77777777" w:rsidR="00252F0C" w:rsidRDefault="006F4053" w:rsidP="00C46622">
      <w:pPr>
        <w:pStyle w:val="NormalWeb"/>
        <w:jc w:val="both"/>
        <w:rPr>
          <w:rFonts w:ascii="Garamond" w:hAnsi="Garamond"/>
        </w:rPr>
      </w:pPr>
      <w:r w:rsidRPr="003E6A25">
        <w:rPr>
          <w:rFonts w:ascii="Garamond" w:hAnsi="Garamond"/>
        </w:rPr>
        <w:t>En segundo lugar, se encuentra plenamente acreditado el incumplimiento de obligaciones esenciales por parte del contratista, conforme al análisis desarrollado en los capítulos precedentes.</w:t>
      </w:r>
    </w:p>
    <w:p w14:paraId="697513B3" w14:textId="77777777" w:rsidR="00DB036C" w:rsidRDefault="006F4053" w:rsidP="00C46622">
      <w:pPr>
        <w:pStyle w:val="NormalWeb"/>
        <w:jc w:val="both"/>
        <w:rPr>
          <w:rFonts w:ascii="Garamond" w:hAnsi="Garamond"/>
        </w:rPr>
      </w:pPr>
      <w:r w:rsidRPr="003E6A25">
        <w:rPr>
          <w:rFonts w:ascii="Garamond" w:hAnsi="Garamond"/>
        </w:rPr>
        <w:t xml:space="preserve">En tercer lugar, dicho incumplimiento resulta jurídicamente imputable a la </w:t>
      </w:r>
      <w:r w:rsidRPr="003E6A25">
        <w:rPr>
          <w:rFonts w:ascii="Garamond" w:hAnsi="Garamond"/>
          <w:b/>
          <w:bCs/>
        </w:rPr>
        <w:t>UNIÓN TEMPORAL BOLÍVAR</w:t>
      </w:r>
      <w:r w:rsidRPr="003E6A25">
        <w:rPr>
          <w:rFonts w:ascii="Garamond" w:hAnsi="Garamond"/>
        </w:rPr>
        <w:t>, sin que se hubiera demostrado la existencia de una causa eximente de responsabilidad.</w:t>
      </w:r>
    </w:p>
    <w:p w14:paraId="7FEB86A4" w14:textId="7A8C0A53" w:rsidR="006F4053" w:rsidRPr="003E6A25" w:rsidRDefault="006F4053" w:rsidP="00C46622">
      <w:pPr>
        <w:pStyle w:val="NormalWeb"/>
        <w:jc w:val="both"/>
        <w:rPr>
          <w:rFonts w:ascii="Garamond" w:hAnsi="Garamond"/>
        </w:rPr>
      </w:pPr>
      <w:r w:rsidRPr="003E6A25">
        <w:rPr>
          <w:rFonts w:ascii="Garamond" w:hAnsi="Garamond"/>
        </w:rPr>
        <w:t>Finalmente, la Administración adelantó el procedimiento previsto en el artículo 86 de la Ley 1474 de 2011, garantizando el derecho de defensa, la contradicción y la participación tanto del contratista como de la compañía aseguradora.</w:t>
      </w:r>
    </w:p>
    <w:p w14:paraId="57F621F8" w14:textId="48712C1A" w:rsidR="006F4053" w:rsidRPr="003E6A25" w:rsidRDefault="006F4053" w:rsidP="002F47C3">
      <w:pPr>
        <w:pStyle w:val="NormalWeb"/>
        <w:jc w:val="both"/>
        <w:rPr>
          <w:rFonts w:ascii="Garamond" w:hAnsi="Garamond"/>
        </w:rPr>
      </w:pPr>
      <w:r w:rsidRPr="003E6A25">
        <w:rPr>
          <w:rFonts w:ascii="Garamond" w:hAnsi="Garamond"/>
        </w:rPr>
        <w:t>En consecuencia, concurren los requisitos legales y contractuales para disponer la aplicación de la cláusula penal pecuniaria.</w:t>
      </w:r>
    </w:p>
    <w:p w14:paraId="4B28773A" w14:textId="77777777" w:rsidR="00DB036C" w:rsidRDefault="00DB036C" w:rsidP="00C46622">
      <w:pPr>
        <w:pStyle w:val="Ttulo2"/>
        <w:jc w:val="both"/>
        <w:rPr>
          <w:rFonts w:ascii="Garamond" w:hAnsi="Garamond"/>
          <w:sz w:val="24"/>
          <w:szCs w:val="24"/>
        </w:rPr>
      </w:pPr>
    </w:p>
    <w:p w14:paraId="18821A30" w14:textId="4B81BC7A"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12.4. La proporcionalidad de la cláusula penal</w:t>
      </w:r>
    </w:p>
    <w:p w14:paraId="523356EA" w14:textId="77777777" w:rsidR="006F4053" w:rsidRPr="003E6A25" w:rsidRDefault="006F4053" w:rsidP="00C46622">
      <w:pPr>
        <w:pStyle w:val="NormalWeb"/>
        <w:jc w:val="both"/>
        <w:rPr>
          <w:rFonts w:ascii="Garamond" w:hAnsi="Garamond"/>
        </w:rPr>
      </w:pPr>
      <w:r w:rsidRPr="003E6A25">
        <w:rPr>
          <w:rFonts w:ascii="Garamond" w:hAnsi="Garamond"/>
        </w:rPr>
        <w:t>La Administración considera necesario precisar que la aplicación de la cláusula penal pecuniaria no constituye una consecuencia automática derivada de cualquier incumplimiento contractual.</w:t>
      </w:r>
    </w:p>
    <w:p w14:paraId="169A20AF" w14:textId="77777777" w:rsidR="006F4053" w:rsidRPr="003E6A25" w:rsidRDefault="006F4053" w:rsidP="00C46622">
      <w:pPr>
        <w:pStyle w:val="NormalWeb"/>
        <w:jc w:val="both"/>
        <w:rPr>
          <w:rFonts w:ascii="Garamond" w:hAnsi="Garamond"/>
        </w:rPr>
      </w:pPr>
      <w:r w:rsidRPr="003E6A25">
        <w:rPr>
          <w:rFonts w:ascii="Garamond" w:hAnsi="Garamond"/>
        </w:rPr>
        <w:t>Su procedencia exige valorar la gravedad de la conducta, la naturaleza de las obligaciones incumplidas, el impacto sobre la finalidad pública del contrato y la entidad de los perjuicios ocasionados a la Administración.</w:t>
      </w:r>
    </w:p>
    <w:p w14:paraId="31E48C9A" w14:textId="77777777" w:rsidR="006F4053" w:rsidRPr="003E6A25" w:rsidRDefault="006F4053" w:rsidP="00C46622">
      <w:pPr>
        <w:pStyle w:val="NormalWeb"/>
        <w:jc w:val="both"/>
        <w:rPr>
          <w:rFonts w:ascii="Garamond" w:hAnsi="Garamond"/>
        </w:rPr>
      </w:pPr>
      <w:r w:rsidRPr="003E6A25">
        <w:rPr>
          <w:rFonts w:ascii="Garamond" w:hAnsi="Garamond"/>
        </w:rPr>
        <w:t>En el presente caso, la medida resulta proporcional, toda vez que el incumplimiento acreditado comprometió el desarrollo del objeto contractual y afectó la satisfacción de las necesidades públicas que justificaron la celebración del contrato.</w:t>
      </w:r>
    </w:p>
    <w:p w14:paraId="27F2BE2C" w14:textId="77777777" w:rsidR="006F4053" w:rsidRPr="003E6A25" w:rsidRDefault="006F4053" w:rsidP="00C46622">
      <w:pPr>
        <w:pStyle w:val="NormalWeb"/>
        <w:jc w:val="both"/>
        <w:rPr>
          <w:rFonts w:ascii="Garamond" w:hAnsi="Garamond"/>
        </w:rPr>
      </w:pPr>
      <w:r w:rsidRPr="003E6A25">
        <w:rPr>
          <w:rFonts w:ascii="Garamond" w:hAnsi="Garamond"/>
        </w:rPr>
        <w:t>No se trata de un incumplimiento meramente formal o de escasa relevancia, sino de la inejecución de obligaciones principales cuya observancia resultaba indispensable para alcanzar la finalidad del contrato.</w:t>
      </w:r>
    </w:p>
    <w:p w14:paraId="0906A51A" w14:textId="76DD8015" w:rsidR="006F4053" w:rsidRPr="003E6A25" w:rsidRDefault="006F4053" w:rsidP="00824EA9">
      <w:pPr>
        <w:pStyle w:val="NormalWeb"/>
        <w:jc w:val="both"/>
        <w:rPr>
          <w:rFonts w:ascii="Garamond" w:hAnsi="Garamond"/>
        </w:rPr>
      </w:pPr>
      <w:r w:rsidRPr="003E6A25">
        <w:rPr>
          <w:rFonts w:ascii="Garamond" w:hAnsi="Garamond"/>
        </w:rPr>
        <w:t>Por ello, la aplicación de la cláusula penal constituye una consecuencia razonable, necesaria y acorde con la magnitud del incumplimiento acreditado.12.5. La cláusula penal no constituye una doble sanción</w:t>
      </w:r>
    </w:p>
    <w:p w14:paraId="2AE452F0" w14:textId="77777777" w:rsidR="00DB036C" w:rsidRDefault="006F4053" w:rsidP="00C46622">
      <w:pPr>
        <w:pStyle w:val="NormalWeb"/>
        <w:jc w:val="both"/>
        <w:rPr>
          <w:rFonts w:ascii="Garamond" w:hAnsi="Garamond"/>
        </w:rPr>
      </w:pPr>
      <w:r w:rsidRPr="003E6A25">
        <w:rPr>
          <w:rFonts w:ascii="Garamond" w:hAnsi="Garamond"/>
        </w:rPr>
        <w:t>Debe precisarse que la declaratoria de incumplimiento y la aplicación de la cláusula penal pecuniaria no configuran una doble sanción por un mismo hecho.</w:t>
      </w:r>
    </w:p>
    <w:p w14:paraId="7F03DD96" w14:textId="4EC65CD6" w:rsidR="006F4053" w:rsidRPr="003E6A25" w:rsidRDefault="006F4053" w:rsidP="00C46622">
      <w:pPr>
        <w:pStyle w:val="NormalWeb"/>
        <w:jc w:val="both"/>
        <w:rPr>
          <w:rFonts w:ascii="Garamond" w:hAnsi="Garamond"/>
        </w:rPr>
      </w:pPr>
      <w:r w:rsidRPr="003E6A25">
        <w:rPr>
          <w:rFonts w:ascii="Garamond" w:hAnsi="Garamond"/>
        </w:rPr>
        <w:t>La declaratoria de incumplimiento tiene como finalidad establecer jurídicamente que el contratista incumplió las obligaciones derivadas del contrato.</w:t>
      </w:r>
    </w:p>
    <w:p w14:paraId="373A0EBE" w14:textId="77777777" w:rsidR="00951262" w:rsidRDefault="006F4053" w:rsidP="00824EA9">
      <w:pPr>
        <w:pStyle w:val="NormalWeb"/>
        <w:jc w:val="both"/>
        <w:rPr>
          <w:rFonts w:ascii="Garamond" w:hAnsi="Garamond"/>
        </w:rPr>
      </w:pPr>
      <w:r w:rsidRPr="003E6A25">
        <w:rPr>
          <w:rFonts w:ascii="Garamond" w:hAnsi="Garamond"/>
        </w:rPr>
        <w:t>La cláusula penal, por su parte, constituye la consecuencia patrimonial previamente pactada por las partes frente a la configuración de dicho incumplimiento.</w:t>
      </w:r>
    </w:p>
    <w:p w14:paraId="23E3ACA5" w14:textId="77777777" w:rsidR="00DB036C" w:rsidRDefault="00DB036C" w:rsidP="00824EA9">
      <w:pPr>
        <w:pStyle w:val="NormalWeb"/>
        <w:jc w:val="both"/>
        <w:rPr>
          <w:rFonts w:ascii="Garamond" w:hAnsi="Garamond"/>
        </w:rPr>
      </w:pPr>
    </w:p>
    <w:p w14:paraId="1E289978" w14:textId="77777777" w:rsidR="00DB036C" w:rsidRDefault="00DB036C" w:rsidP="00824EA9">
      <w:pPr>
        <w:pStyle w:val="NormalWeb"/>
        <w:jc w:val="both"/>
        <w:rPr>
          <w:rFonts w:ascii="Garamond" w:hAnsi="Garamond"/>
        </w:rPr>
      </w:pPr>
    </w:p>
    <w:p w14:paraId="25A4E0EA" w14:textId="7062ECF0" w:rsidR="006F4053" w:rsidRPr="003E6A25" w:rsidRDefault="006F4053" w:rsidP="00824EA9">
      <w:pPr>
        <w:pStyle w:val="NormalWeb"/>
        <w:jc w:val="both"/>
        <w:rPr>
          <w:rFonts w:ascii="Garamond" w:hAnsi="Garamond"/>
        </w:rPr>
      </w:pPr>
      <w:r w:rsidRPr="003E6A25">
        <w:rPr>
          <w:rFonts w:ascii="Garamond" w:hAnsi="Garamond"/>
        </w:rPr>
        <w:t>Se trata, por tanto, de instituciones jurídicas diferentes, con finalidades complementarias, cuya aplicación conjunta se encuentra expresamente prevista en el contrato y en el régimen jurídico de la contratación estatal.</w:t>
      </w:r>
    </w:p>
    <w:p w14:paraId="415539EA" w14:textId="5C3A4882" w:rsidR="006F4053" w:rsidRPr="003E6A25" w:rsidRDefault="006F4053" w:rsidP="00C46622">
      <w:pPr>
        <w:pStyle w:val="Ttulo2"/>
        <w:jc w:val="both"/>
        <w:rPr>
          <w:rFonts w:ascii="Garamond" w:hAnsi="Garamond"/>
          <w:sz w:val="24"/>
          <w:szCs w:val="24"/>
        </w:rPr>
      </w:pPr>
      <w:r w:rsidRPr="003E6A25">
        <w:rPr>
          <w:rFonts w:ascii="Garamond" w:hAnsi="Garamond"/>
          <w:sz w:val="24"/>
          <w:szCs w:val="24"/>
        </w:rPr>
        <w:t>12.</w:t>
      </w:r>
      <w:r w:rsidR="006323AF">
        <w:rPr>
          <w:rFonts w:ascii="Garamond" w:hAnsi="Garamond"/>
          <w:sz w:val="24"/>
          <w:szCs w:val="24"/>
        </w:rPr>
        <w:t>5</w:t>
      </w:r>
      <w:r w:rsidRPr="003E6A25">
        <w:rPr>
          <w:rFonts w:ascii="Garamond" w:hAnsi="Garamond"/>
          <w:sz w:val="24"/>
          <w:szCs w:val="24"/>
        </w:rPr>
        <w:t>. Conclusión</w:t>
      </w:r>
    </w:p>
    <w:p w14:paraId="7D9B95BA" w14:textId="77777777" w:rsidR="006F4053" w:rsidRPr="003E6A25" w:rsidRDefault="006F4053" w:rsidP="00C46622">
      <w:pPr>
        <w:pStyle w:val="NormalWeb"/>
        <w:jc w:val="both"/>
        <w:rPr>
          <w:rFonts w:ascii="Garamond" w:hAnsi="Garamond"/>
        </w:rPr>
      </w:pPr>
      <w:r w:rsidRPr="003E6A25">
        <w:rPr>
          <w:rFonts w:ascii="Garamond" w:hAnsi="Garamond"/>
        </w:rPr>
        <w:t>Acreditados los presupuestos fácticos y jurídicos anteriormente expuestos, este Despacho concluye que resulta procedente hacer efectiva la cláusula penal pecuniaria pactada en el Contrato de Obra Pública No. COP-859-2023, en los términos establecidos en la cláusula correspondiente y conforme al porcentaje y valor definidos contractualmente.</w:t>
      </w:r>
    </w:p>
    <w:p w14:paraId="32CD6C17" w14:textId="41E553BA" w:rsidR="006F4053" w:rsidRPr="003E6A25" w:rsidRDefault="006F4053" w:rsidP="00824EA9">
      <w:pPr>
        <w:pStyle w:val="NormalWeb"/>
        <w:jc w:val="both"/>
        <w:rPr>
          <w:rFonts w:ascii="Garamond" w:hAnsi="Garamond"/>
        </w:rPr>
      </w:pPr>
      <w:r w:rsidRPr="003E6A25">
        <w:rPr>
          <w:rFonts w:ascii="Garamond" w:hAnsi="Garamond"/>
        </w:rPr>
        <w:t>La liquidación del monto correspondiente deberá efectuarse de acuerdo con la fórmula prevista en el contrato, respetando el límite máximo pactado por las partes y las disposiciones legales aplicables.</w:t>
      </w:r>
    </w:p>
    <w:p w14:paraId="0DB87757" w14:textId="2EC49764" w:rsidR="006F4053" w:rsidRPr="003E6A25" w:rsidRDefault="006F4053" w:rsidP="009503BD">
      <w:pPr>
        <w:pStyle w:val="Ttulo1"/>
        <w:jc w:val="both"/>
        <w:rPr>
          <w:rFonts w:ascii="Garamond" w:hAnsi="Garamond"/>
          <w:b/>
          <w:bCs/>
          <w:color w:val="auto"/>
          <w:sz w:val="24"/>
          <w:szCs w:val="24"/>
        </w:rPr>
      </w:pPr>
      <w:r w:rsidRPr="003E6A25">
        <w:rPr>
          <w:rFonts w:ascii="Garamond" w:hAnsi="Garamond"/>
          <w:b/>
          <w:bCs/>
          <w:color w:val="auto"/>
          <w:sz w:val="24"/>
          <w:szCs w:val="24"/>
        </w:rPr>
        <w:t>XIII. PROCEDENCIA DE LA EFECTIVIDAD DEL AMPARO DE</w:t>
      </w:r>
      <w:r w:rsidR="00824EA9" w:rsidRPr="003E6A25">
        <w:rPr>
          <w:rFonts w:ascii="Garamond" w:hAnsi="Garamond"/>
          <w:b/>
          <w:bCs/>
          <w:color w:val="auto"/>
          <w:sz w:val="24"/>
          <w:szCs w:val="24"/>
        </w:rPr>
        <w:t xml:space="preserve"> </w:t>
      </w:r>
      <w:r w:rsidRPr="003E6A25">
        <w:rPr>
          <w:rFonts w:ascii="Garamond" w:hAnsi="Garamond"/>
          <w:b/>
          <w:bCs/>
          <w:color w:val="auto"/>
          <w:sz w:val="24"/>
          <w:szCs w:val="24"/>
        </w:rPr>
        <w:t>CUMPLIMIENTO</w:t>
      </w:r>
    </w:p>
    <w:p w14:paraId="78C6F4EE"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13.1. Finalidad de la garantía única de cumplimiento</w:t>
      </w:r>
    </w:p>
    <w:p w14:paraId="03AF54BD" w14:textId="77777777" w:rsidR="006F4053" w:rsidRPr="003E6A25" w:rsidRDefault="006F4053" w:rsidP="00C46622">
      <w:pPr>
        <w:pStyle w:val="NormalWeb"/>
        <w:jc w:val="both"/>
        <w:rPr>
          <w:rFonts w:ascii="Garamond" w:hAnsi="Garamond"/>
        </w:rPr>
      </w:pPr>
      <w:r w:rsidRPr="003E6A25">
        <w:rPr>
          <w:rFonts w:ascii="Garamond" w:hAnsi="Garamond"/>
        </w:rPr>
        <w:t>La garantía única de cumplimiento constituye uno de los principales mecanismos de protección del patrimonio público dentro de la contratación estatal.</w:t>
      </w:r>
    </w:p>
    <w:p w14:paraId="785276F3" w14:textId="4D1A5359" w:rsidR="006F4053" w:rsidRPr="003E6A25" w:rsidRDefault="006F4053" w:rsidP="00C46622">
      <w:pPr>
        <w:pStyle w:val="NormalWeb"/>
        <w:jc w:val="both"/>
        <w:rPr>
          <w:rFonts w:ascii="Garamond" w:hAnsi="Garamond"/>
        </w:rPr>
      </w:pPr>
      <w:r w:rsidRPr="003E6A25">
        <w:rPr>
          <w:rFonts w:ascii="Garamond" w:hAnsi="Garamond"/>
        </w:rPr>
        <w:t>Su finalidad consiste en asegurar que la entidad contratante cuente con un respaldo patrimonial frente a los riesgos derivados del incumplimiento de las obligaciones asumidas por el contratista,</w:t>
      </w:r>
      <w:r w:rsidR="00DB036C">
        <w:rPr>
          <w:rFonts w:ascii="Garamond" w:hAnsi="Garamond"/>
        </w:rPr>
        <w:t xml:space="preserve"> </w:t>
      </w:r>
      <w:r w:rsidRPr="003E6A25">
        <w:rPr>
          <w:rFonts w:ascii="Garamond" w:hAnsi="Garamond"/>
        </w:rPr>
        <w:t>garantizando la reparación de los perjuicios ocasionados por la inejecución o ejecución defectuosa del contrato.</w:t>
      </w:r>
    </w:p>
    <w:p w14:paraId="5D786ACF" w14:textId="77777777" w:rsidR="00951262" w:rsidRDefault="006F4053" w:rsidP="00951262">
      <w:pPr>
        <w:pStyle w:val="NormalWeb"/>
        <w:jc w:val="both"/>
        <w:rPr>
          <w:rFonts w:ascii="Garamond" w:hAnsi="Garamond"/>
        </w:rPr>
      </w:pPr>
      <w:r w:rsidRPr="003E6A25">
        <w:rPr>
          <w:rFonts w:ascii="Garamond" w:hAnsi="Garamond"/>
        </w:rPr>
        <w:t>En consecuencia, la garantía no constituye una obligación independiente del contrato principal, sino una obligación accesoria cuyo objeto es respaldar el cumplimiento de las obligaciones contractuales.</w:t>
      </w:r>
    </w:p>
    <w:p w14:paraId="3B5B93A9" w14:textId="77777777" w:rsidR="00DB036C" w:rsidRDefault="00DB036C" w:rsidP="00951262">
      <w:pPr>
        <w:pStyle w:val="NormalWeb"/>
        <w:jc w:val="both"/>
        <w:rPr>
          <w:rFonts w:ascii="Garamond" w:hAnsi="Garamond"/>
          <w:b/>
          <w:bCs/>
        </w:rPr>
      </w:pPr>
    </w:p>
    <w:p w14:paraId="5E43D21E" w14:textId="05FC4E7C" w:rsidR="006F4053" w:rsidRPr="00951262" w:rsidRDefault="006F4053" w:rsidP="00951262">
      <w:pPr>
        <w:pStyle w:val="NormalWeb"/>
        <w:jc w:val="both"/>
        <w:rPr>
          <w:rFonts w:ascii="Garamond" w:hAnsi="Garamond"/>
          <w:b/>
          <w:bCs/>
        </w:rPr>
      </w:pPr>
      <w:r w:rsidRPr="00951262">
        <w:rPr>
          <w:rFonts w:ascii="Garamond" w:hAnsi="Garamond"/>
          <w:b/>
          <w:bCs/>
        </w:rPr>
        <w:t>13.2. Vinculación de la compañía aseguradora</w:t>
      </w:r>
    </w:p>
    <w:p w14:paraId="6AE09F97" w14:textId="77777777" w:rsidR="006F4053" w:rsidRPr="003E6A25" w:rsidRDefault="006F4053" w:rsidP="00C46622">
      <w:pPr>
        <w:pStyle w:val="NormalWeb"/>
        <w:jc w:val="both"/>
        <w:rPr>
          <w:rFonts w:ascii="Garamond" w:hAnsi="Garamond"/>
        </w:rPr>
      </w:pPr>
      <w:r w:rsidRPr="003E6A25">
        <w:rPr>
          <w:rFonts w:ascii="Garamond" w:hAnsi="Garamond"/>
        </w:rPr>
        <w:t xml:space="preserve">Obra en el expediente administrativo que la </w:t>
      </w:r>
      <w:r w:rsidRPr="0078327C">
        <w:rPr>
          <w:rFonts w:ascii="Garamond" w:hAnsi="Garamond"/>
          <w:b/>
          <w:bCs/>
        </w:rPr>
        <w:t>COMPAÑÍA MUNDIAL DE SEGUROS S.A.</w:t>
      </w:r>
      <w:r w:rsidRPr="003E6A25">
        <w:rPr>
          <w:rFonts w:ascii="Garamond" w:hAnsi="Garamond"/>
        </w:rPr>
        <w:t xml:space="preserve"> fue oportunamente vinculada al presente procedimiento administrativo, conforme a lo dispuesto en el artículo 86 de la Ley 1474 de 2011.</w:t>
      </w:r>
    </w:p>
    <w:p w14:paraId="465743C3" w14:textId="77777777" w:rsidR="006F4053" w:rsidRPr="003E6A25" w:rsidRDefault="006F4053" w:rsidP="00C46622">
      <w:pPr>
        <w:pStyle w:val="NormalWeb"/>
        <w:jc w:val="both"/>
        <w:rPr>
          <w:rFonts w:ascii="Garamond" w:hAnsi="Garamond"/>
        </w:rPr>
      </w:pPr>
      <w:r w:rsidRPr="003E6A25">
        <w:rPr>
          <w:rFonts w:ascii="Garamond" w:hAnsi="Garamond"/>
        </w:rPr>
        <w:t>La aseguradora conoció los hechos objeto de análisis, tuvo acceso al expediente administrativo, participó en las audiencias públicas, presentó observaciones y ejerció plenamente su derecho de defensa.</w:t>
      </w:r>
    </w:p>
    <w:p w14:paraId="5EF5E8C6" w14:textId="4A3B059E" w:rsidR="006F4053" w:rsidRPr="003E6A25" w:rsidRDefault="006F4053" w:rsidP="00824EA9">
      <w:pPr>
        <w:pStyle w:val="NormalWeb"/>
        <w:jc w:val="both"/>
        <w:rPr>
          <w:rFonts w:ascii="Garamond" w:hAnsi="Garamond"/>
        </w:rPr>
      </w:pPr>
      <w:r w:rsidRPr="003E6A25">
        <w:rPr>
          <w:rFonts w:ascii="Garamond" w:hAnsi="Garamond"/>
        </w:rPr>
        <w:t>Por consiguiente, la decisión que se adopta mediante el presente acto administrativo resulta plenamente oponible a la aseguradora dentro del alcance del amparo otorgado.</w:t>
      </w:r>
    </w:p>
    <w:p w14:paraId="1AEFE081"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13.3. Configuración del siniestro</w:t>
      </w:r>
    </w:p>
    <w:p w14:paraId="7F846FE7" w14:textId="77777777" w:rsidR="006F4053" w:rsidRPr="003E6A25" w:rsidRDefault="006F4053" w:rsidP="00C46622">
      <w:pPr>
        <w:pStyle w:val="NormalWeb"/>
        <w:jc w:val="both"/>
        <w:rPr>
          <w:rFonts w:ascii="Garamond" w:hAnsi="Garamond"/>
        </w:rPr>
      </w:pPr>
      <w:r w:rsidRPr="003E6A25">
        <w:rPr>
          <w:rFonts w:ascii="Garamond" w:hAnsi="Garamond"/>
        </w:rPr>
        <w:t>Como consecuencia de la declaratoria de incumplimiento contenida en la presente resolución, se entiende configurado el riesgo amparado por la garantía de cumplimiento, en los términos previstos en la póliza expedida y en las condiciones contractuales aceptadas por las partes.</w:t>
      </w:r>
    </w:p>
    <w:p w14:paraId="43837B37" w14:textId="7B8F1542" w:rsidR="006F4053" w:rsidRPr="003E6A25" w:rsidRDefault="006F4053" w:rsidP="00824EA9">
      <w:pPr>
        <w:pStyle w:val="NormalWeb"/>
        <w:jc w:val="both"/>
        <w:rPr>
          <w:rFonts w:ascii="Garamond" w:hAnsi="Garamond"/>
        </w:rPr>
      </w:pPr>
      <w:r w:rsidRPr="003E6A25">
        <w:rPr>
          <w:rFonts w:ascii="Garamond" w:hAnsi="Garamond"/>
        </w:rPr>
        <w:t>En consecuencia, procede ordenar la efectividad del amparo de cumplimiento hasta el monto asegurado, sin perjuicio de las limitaciones, deducibles y demás condiciones expresamente previstas en la póliza.</w:t>
      </w:r>
    </w:p>
    <w:p w14:paraId="261AC1A7" w14:textId="6FA664DB" w:rsidR="006F4053" w:rsidRPr="003E6A25" w:rsidRDefault="006F4053" w:rsidP="00C46622">
      <w:pPr>
        <w:pStyle w:val="Ttulo2"/>
        <w:jc w:val="both"/>
        <w:rPr>
          <w:rFonts w:ascii="Garamond" w:hAnsi="Garamond"/>
          <w:sz w:val="24"/>
          <w:szCs w:val="24"/>
        </w:rPr>
      </w:pPr>
      <w:r w:rsidRPr="003E6A25">
        <w:rPr>
          <w:rFonts w:ascii="Garamond" w:hAnsi="Garamond"/>
          <w:sz w:val="24"/>
          <w:szCs w:val="24"/>
        </w:rPr>
        <w:t>13.4. Conclusión</w:t>
      </w:r>
    </w:p>
    <w:p w14:paraId="6B83E0E2" w14:textId="7C9D21B9" w:rsidR="006F4053" w:rsidRPr="003E6A25" w:rsidRDefault="006F4053" w:rsidP="00C46622">
      <w:pPr>
        <w:pStyle w:val="NormalWeb"/>
        <w:jc w:val="both"/>
        <w:rPr>
          <w:rFonts w:ascii="Garamond" w:hAnsi="Garamond"/>
        </w:rPr>
      </w:pPr>
      <w:r w:rsidRPr="003E6A25">
        <w:rPr>
          <w:rFonts w:ascii="Garamond" w:hAnsi="Garamond"/>
        </w:rPr>
        <w:t xml:space="preserve">En virtud de la declaratoria de incumplimiento contenida en el presente acto administrativo y de conformidad con las obligaciones derivadas de la garantía única constituida por el contratista, resulta procedente ordenar la efectividad del amparo de cumplimiento expedido por la </w:t>
      </w:r>
      <w:r w:rsidRPr="003E6A25">
        <w:rPr>
          <w:rFonts w:ascii="Garamond" w:hAnsi="Garamond"/>
          <w:b/>
          <w:bCs/>
        </w:rPr>
        <w:t>COMPAÑÍA MUNDIAL DE SEGUROS S.A</w:t>
      </w:r>
      <w:r w:rsidRPr="003E6A25">
        <w:rPr>
          <w:rFonts w:ascii="Garamond" w:hAnsi="Garamond"/>
        </w:rPr>
        <w:t>., hasta por el valor asegurado y dentro de los límites previstos en la respectiva póliza.</w:t>
      </w:r>
    </w:p>
    <w:p w14:paraId="53FC1391" w14:textId="77777777" w:rsidR="0078327C" w:rsidRDefault="0078327C" w:rsidP="00C46622">
      <w:pPr>
        <w:pStyle w:val="Ttulo1"/>
        <w:jc w:val="both"/>
        <w:rPr>
          <w:rFonts w:ascii="Garamond" w:hAnsi="Garamond"/>
          <w:b/>
          <w:bCs/>
          <w:color w:val="auto"/>
          <w:sz w:val="24"/>
          <w:szCs w:val="24"/>
        </w:rPr>
      </w:pPr>
    </w:p>
    <w:p w14:paraId="59466127" w14:textId="79B94795" w:rsidR="006F4053" w:rsidRPr="003E6A25" w:rsidRDefault="006F4053" w:rsidP="00C46622">
      <w:pPr>
        <w:pStyle w:val="Ttulo1"/>
        <w:jc w:val="both"/>
        <w:rPr>
          <w:rFonts w:ascii="Garamond" w:hAnsi="Garamond"/>
          <w:b/>
          <w:bCs/>
          <w:color w:val="auto"/>
          <w:sz w:val="24"/>
          <w:szCs w:val="24"/>
        </w:rPr>
      </w:pPr>
      <w:r w:rsidRPr="003E6A25">
        <w:rPr>
          <w:rFonts w:ascii="Garamond" w:hAnsi="Garamond"/>
          <w:b/>
          <w:bCs/>
          <w:color w:val="auto"/>
          <w:sz w:val="24"/>
          <w:szCs w:val="24"/>
        </w:rPr>
        <w:t>XIV. PRECEDENTES JURISPRUDENCIALES Y SU APLICACIÓN AL CASO CONCRETO</w:t>
      </w:r>
    </w:p>
    <w:p w14:paraId="7C0A081B"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14.1. La motivación como presupuesto de validez del acto administrativo</w:t>
      </w:r>
    </w:p>
    <w:p w14:paraId="27E5E613" w14:textId="77777777" w:rsidR="006F4053" w:rsidRPr="003E6A25" w:rsidRDefault="006F4053" w:rsidP="00C46622">
      <w:pPr>
        <w:pStyle w:val="NormalWeb"/>
        <w:jc w:val="both"/>
        <w:rPr>
          <w:rFonts w:ascii="Garamond" w:hAnsi="Garamond"/>
        </w:rPr>
      </w:pPr>
      <w:r w:rsidRPr="003E6A25">
        <w:rPr>
          <w:rFonts w:ascii="Garamond" w:hAnsi="Garamond"/>
        </w:rPr>
        <w:t>La jurisprudencia reiterada del Consejo de Estado ha sostenido que los actos administrativos mediante los cuales una entidad estatal declara el incumplimiento de un contrato y hace efectivas las consecuencias pactadas deben estar suficientemente motivados, de manera que permitan conocer con claridad las razones de hecho y de derecho que sustentan la decisión.</w:t>
      </w:r>
    </w:p>
    <w:p w14:paraId="39B840E4" w14:textId="77777777" w:rsidR="006F4053" w:rsidRPr="003E6A25" w:rsidRDefault="006F4053" w:rsidP="00C46622">
      <w:pPr>
        <w:pStyle w:val="NormalWeb"/>
        <w:jc w:val="both"/>
        <w:rPr>
          <w:rFonts w:ascii="Garamond" w:hAnsi="Garamond"/>
        </w:rPr>
      </w:pPr>
      <w:r w:rsidRPr="003E6A25">
        <w:rPr>
          <w:rFonts w:ascii="Garamond" w:hAnsi="Garamond"/>
        </w:rPr>
        <w:t>La motivación constituye una garantía del debido proceso y del derecho de defensa, en tanto permite al administrado comprender las razones que justifican la decisión y ejercer adecuadamente los mecanismos de contradicción y control jurisdiccional.</w:t>
      </w:r>
    </w:p>
    <w:p w14:paraId="6C9E4A6F" w14:textId="77777777" w:rsidR="006F4053" w:rsidRPr="003E6A25" w:rsidRDefault="006F4053" w:rsidP="00C46622">
      <w:pPr>
        <w:pStyle w:val="NormalWeb"/>
        <w:jc w:val="both"/>
        <w:rPr>
          <w:rFonts w:ascii="Garamond" w:hAnsi="Garamond"/>
        </w:rPr>
      </w:pPr>
      <w:r w:rsidRPr="003E6A25">
        <w:rPr>
          <w:rFonts w:ascii="Garamond" w:hAnsi="Garamond"/>
        </w:rPr>
        <w:t>En ese sentido, la motivación de un acto administrativo no se satisface con la simple relación cronológica de las actuaciones surtidas dentro del expediente, sino que exige una valoración crítica del material probatorio, la respuesta a los argumentos de defensa y la explicación de las razones por las cuales la Administración concluye que se encuentran acreditados los presupuestos para adoptar la decisión.</w:t>
      </w:r>
    </w:p>
    <w:p w14:paraId="0F9A7BD7" w14:textId="0EC5DF93" w:rsidR="006F4053" w:rsidRPr="003E6A25" w:rsidRDefault="006F4053" w:rsidP="00C46622">
      <w:pPr>
        <w:pStyle w:val="NormalWeb"/>
        <w:jc w:val="both"/>
        <w:rPr>
          <w:rFonts w:ascii="Garamond" w:hAnsi="Garamond"/>
        </w:rPr>
      </w:pPr>
      <w:r w:rsidRPr="003E6A25">
        <w:rPr>
          <w:rFonts w:ascii="Garamond" w:hAnsi="Garamond"/>
        </w:rPr>
        <w:t>En el presente caso, la Administración no limitó su actuación a reproducir los informes de supervisión e interventoría ni a describir las actuaciones adelantadas durante el procedimiento administrativo. Por el contrario, efectuó una valoración integral del acervo probatorio, analizó los argumentos presentados por el contratista y la compañía aseguradora, estableció la existencia de obligaciones contractuales claras, verificó la ocurrencia del incumplimiento y explicó las razones por las cuales dicho incumplimiento resulta jurídicamente imputable al contratista.</w:t>
      </w:r>
    </w:p>
    <w:p w14:paraId="33680800" w14:textId="77777777" w:rsidR="002941C4" w:rsidRDefault="006F4053" w:rsidP="002941C4">
      <w:pPr>
        <w:pStyle w:val="NormalWeb"/>
        <w:jc w:val="both"/>
        <w:rPr>
          <w:rFonts w:ascii="Garamond" w:hAnsi="Garamond"/>
        </w:rPr>
      </w:pPr>
      <w:r w:rsidRPr="003E6A25">
        <w:rPr>
          <w:rFonts w:ascii="Garamond" w:hAnsi="Garamond"/>
        </w:rPr>
        <w:t>En consecuencia, este Despacho considera satisfecho el deber de motivación exigido por la Constitución, la ley y la jurisprudencia para la expedición del presente acto administrativo.</w:t>
      </w:r>
    </w:p>
    <w:p w14:paraId="4F9EC38E" w14:textId="77777777" w:rsidR="00951262" w:rsidRDefault="006F4053" w:rsidP="00C46622">
      <w:pPr>
        <w:pStyle w:val="NormalWeb"/>
        <w:jc w:val="both"/>
        <w:rPr>
          <w:rFonts w:ascii="Garamond" w:hAnsi="Garamond"/>
          <w:b/>
          <w:bCs/>
        </w:rPr>
      </w:pPr>
      <w:r w:rsidRPr="002941C4">
        <w:rPr>
          <w:rFonts w:ascii="Garamond" w:hAnsi="Garamond"/>
          <w:b/>
          <w:bCs/>
        </w:rPr>
        <w:t>14.2. La declaratoria de incumplimiento exige la demostración objetiva del incumplimiento</w:t>
      </w:r>
    </w:p>
    <w:p w14:paraId="522CB685" w14:textId="77777777" w:rsidR="0078327C" w:rsidRDefault="0078327C" w:rsidP="00C46622">
      <w:pPr>
        <w:pStyle w:val="NormalWeb"/>
        <w:jc w:val="both"/>
        <w:rPr>
          <w:rFonts w:ascii="Garamond" w:hAnsi="Garamond"/>
        </w:rPr>
      </w:pPr>
    </w:p>
    <w:p w14:paraId="07978B51" w14:textId="08878602" w:rsidR="006F4053" w:rsidRPr="00951262" w:rsidRDefault="006F4053" w:rsidP="00C46622">
      <w:pPr>
        <w:pStyle w:val="NormalWeb"/>
        <w:jc w:val="both"/>
        <w:rPr>
          <w:rFonts w:ascii="Garamond" w:hAnsi="Garamond"/>
          <w:b/>
          <w:bCs/>
        </w:rPr>
      </w:pPr>
      <w:r w:rsidRPr="003E6A25">
        <w:rPr>
          <w:rFonts w:ascii="Garamond" w:hAnsi="Garamond"/>
        </w:rPr>
        <w:t>La Sección Tercera del Consejo de Estado ha precisado que la declaratoria de incumplimiento contractual no constituye una facultad discrecional de la Administración, sino una potestad reglada cuyo ejercicio exige la demostración objetiva del incumplimiento y la observancia plena del debido proceso.</w:t>
      </w:r>
    </w:p>
    <w:p w14:paraId="5BC85035" w14:textId="77777777" w:rsidR="006F4053" w:rsidRPr="003E6A25" w:rsidRDefault="006F4053" w:rsidP="00C46622">
      <w:pPr>
        <w:pStyle w:val="NormalWeb"/>
        <w:jc w:val="both"/>
        <w:rPr>
          <w:rFonts w:ascii="Garamond" w:hAnsi="Garamond"/>
        </w:rPr>
      </w:pPr>
      <w:r w:rsidRPr="003E6A25">
        <w:rPr>
          <w:rFonts w:ascii="Garamond" w:hAnsi="Garamond"/>
        </w:rPr>
        <w:t>Ello implica que la Entidad debe acreditar, mediante pruebas legalmente obtenidas y valoradas conforme a las reglas de la sana crítica, la existencia de las obligaciones contractuales, el incumplimiento de las mismas y la imputabilidad de dicho incumplimiento al contratista.</w:t>
      </w:r>
    </w:p>
    <w:p w14:paraId="2EB9DA6C" w14:textId="77777777" w:rsidR="006F4053" w:rsidRPr="003E6A25" w:rsidRDefault="006F4053" w:rsidP="00C46622">
      <w:pPr>
        <w:pStyle w:val="NormalWeb"/>
        <w:jc w:val="both"/>
        <w:rPr>
          <w:rFonts w:ascii="Garamond" w:hAnsi="Garamond"/>
        </w:rPr>
      </w:pPr>
      <w:r w:rsidRPr="003E6A25">
        <w:rPr>
          <w:rFonts w:ascii="Garamond" w:hAnsi="Garamond"/>
        </w:rPr>
        <w:t>En el presente procedimiento administrativo estos presupuestos fueron plenamente acreditados.</w:t>
      </w:r>
    </w:p>
    <w:p w14:paraId="2AFD1A8E" w14:textId="77777777" w:rsidR="006F4053" w:rsidRPr="003E6A25" w:rsidRDefault="006F4053" w:rsidP="00C46622">
      <w:pPr>
        <w:pStyle w:val="NormalWeb"/>
        <w:jc w:val="both"/>
        <w:rPr>
          <w:rFonts w:ascii="Garamond" w:hAnsi="Garamond"/>
        </w:rPr>
      </w:pPr>
      <w:r w:rsidRPr="003E6A25">
        <w:rPr>
          <w:rFonts w:ascii="Garamond" w:hAnsi="Garamond"/>
        </w:rPr>
        <w:t>El expediente contiene el contrato, los documentos que lo integran, las actas contractuales, los informes de supervisión e interventoría, las visitas técnicas, los registros fotográficos, los requerimientos efectuados durante la ejecución, las respuestas del contratista, las pruebas practicadas durante el procedimiento y las intervenciones realizadas por las partes en desarrollo de las audiencias públicas.</w:t>
      </w:r>
    </w:p>
    <w:p w14:paraId="0A12713F" w14:textId="250896D1" w:rsidR="006F4053" w:rsidRPr="00DB036C" w:rsidRDefault="006F4053" w:rsidP="00824EA9">
      <w:pPr>
        <w:pStyle w:val="NormalWeb"/>
        <w:jc w:val="both"/>
        <w:rPr>
          <w:rFonts w:ascii="Garamond" w:hAnsi="Garamond"/>
        </w:rPr>
      </w:pPr>
      <w:r w:rsidRPr="003E6A25">
        <w:rPr>
          <w:rFonts w:ascii="Garamond" w:hAnsi="Garamond"/>
        </w:rPr>
        <w:t xml:space="preserve">La valoración conjunta de dichos elementos permitió concluir, con un grado suficiente de certeza, que al vencimiento del plazo contractual permanecía pendiente una parte sustancial del objeto contratado y que dicha circunstancia resulta jurídicamente imputable a la </w:t>
      </w:r>
      <w:r w:rsidRPr="003E6A25">
        <w:rPr>
          <w:rFonts w:ascii="Garamond" w:hAnsi="Garamond"/>
          <w:b/>
          <w:bCs/>
        </w:rPr>
        <w:t>UNIÓN TEMPORAL BOLÍVAR.</w:t>
      </w:r>
    </w:p>
    <w:p w14:paraId="008F42FA"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14.3. La declaratoria de incumplimiento no exige la demostración de dolo o culpa grave</w:t>
      </w:r>
    </w:p>
    <w:p w14:paraId="13091012" w14:textId="77777777" w:rsidR="006F4053" w:rsidRPr="003E6A25" w:rsidRDefault="006F4053" w:rsidP="00C46622">
      <w:pPr>
        <w:pStyle w:val="NormalWeb"/>
        <w:jc w:val="both"/>
        <w:rPr>
          <w:rFonts w:ascii="Garamond" w:hAnsi="Garamond"/>
        </w:rPr>
      </w:pPr>
      <w:r w:rsidRPr="003E6A25">
        <w:rPr>
          <w:rFonts w:ascii="Garamond" w:hAnsi="Garamond"/>
        </w:rPr>
        <w:t>La jurisprudencia contencioso-administrativa ha señalado igualmente que la declaratoria administrativa de incumplimiento contractual no requiere acreditar la existencia de dolo o culpa grave por parte del contratista.</w:t>
      </w:r>
    </w:p>
    <w:p w14:paraId="5DBA2C33" w14:textId="77777777" w:rsidR="006F4053" w:rsidRPr="003E6A25" w:rsidRDefault="006F4053" w:rsidP="00C46622">
      <w:pPr>
        <w:pStyle w:val="NormalWeb"/>
        <w:jc w:val="both"/>
        <w:rPr>
          <w:rFonts w:ascii="Garamond" w:hAnsi="Garamond"/>
        </w:rPr>
      </w:pPr>
      <w:r w:rsidRPr="003E6A25">
        <w:rPr>
          <w:rFonts w:ascii="Garamond" w:hAnsi="Garamond"/>
        </w:rPr>
        <w:t>Lo relevante consiste en establecer que las obligaciones contractuales no fueron cumplidas en los términos pactados y que dicha situación resulta atribuible al contratista, sin que concurran circunstancias eximentes de responsabilidad.</w:t>
      </w:r>
    </w:p>
    <w:p w14:paraId="31FA38F8" w14:textId="77777777" w:rsidR="006323AF" w:rsidRDefault="006323AF" w:rsidP="00C46622">
      <w:pPr>
        <w:pStyle w:val="NormalWeb"/>
        <w:jc w:val="both"/>
        <w:rPr>
          <w:rFonts w:ascii="Garamond" w:hAnsi="Garamond"/>
        </w:rPr>
      </w:pPr>
    </w:p>
    <w:p w14:paraId="4A3E8591" w14:textId="6699B679" w:rsidR="006F4053" w:rsidRPr="003E6A25" w:rsidRDefault="006F4053" w:rsidP="00C46622">
      <w:pPr>
        <w:pStyle w:val="NormalWeb"/>
        <w:jc w:val="both"/>
        <w:rPr>
          <w:rFonts w:ascii="Garamond" w:hAnsi="Garamond"/>
        </w:rPr>
      </w:pPr>
      <w:r w:rsidRPr="003E6A25">
        <w:rPr>
          <w:rFonts w:ascii="Garamond" w:hAnsi="Garamond"/>
        </w:rPr>
        <w:t>En el presente asunto, la Administración analizó las circunstancias invocadas por la defensa y concluyó que no se acreditó la existencia de fuerza mayor, caso fortuito, hecho exclusivo de un tercero o hecho exclusivo de la Entidad que justificara la inejecución del objeto contractual.</w:t>
      </w:r>
    </w:p>
    <w:p w14:paraId="497C4D45" w14:textId="0E88B590" w:rsidR="006F4053" w:rsidRPr="003E6A25" w:rsidRDefault="006F4053" w:rsidP="00824EA9">
      <w:pPr>
        <w:pStyle w:val="NormalWeb"/>
        <w:jc w:val="both"/>
        <w:rPr>
          <w:rFonts w:ascii="Garamond" w:hAnsi="Garamond"/>
        </w:rPr>
      </w:pPr>
      <w:r w:rsidRPr="003E6A25">
        <w:rPr>
          <w:rFonts w:ascii="Garamond" w:hAnsi="Garamond"/>
        </w:rPr>
        <w:t>En consecuencia, el incumplimiento verificado resulta jurídicamente imputable al contratista y habilita la adopción de las consecuencias previstas en el contrato.</w:t>
      </w:r>
    </w:p>
    <w:p w14:paraId="40AD1AB2"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14.4. La cláusula penal pecuniaria constituye una consecuencia contractual previamente aceptada</w:t>
      </w:r>
    </w:p>
    <w:p w14:paraId="4BE5F535" w14:textId="77777777" w:rsidR="006F4053" w:rsidRPr="003E6A25" w:rsidRDefault="006F4053" w:rsidP="00C46622">
      <w:pPr>
        <w:pStyle w:val="NormalWeb"/>
        <w:jc w:val="both"/>
        <w:rPr>
          <w:rFonts w:ascii="Garamond" w:hAnsi="Garamond"/>
        </w:rPr>
      </w:pPr>
      <w:r w:rsidRPr="003E6A25">
        <w:rPr>
          <w:rFonts w:ascii="Garamond" w:hAnsi="Garamond"/>
        </w:rPr>
        <w:t>La jurisprudencia del Consejo de Estado ha reconocido que la cláusula penal pecuniaria constituye una estipulación válida dentro de los contratos estatales y que su efectividad procede cuando se encuentra acreditado el incumplimiento imputable al contratista y se ha respetado el procedimiento previsto en la ley.</w:t>
      </w:r>
    </w:p>
    <w:p w14:paraId="7B3E48FA" w14:textId="77777777" w:rsidR="0078327C" w:rsidRDefault="006F4053" w:rsidP="00C46622">
      <w:pPr>
        <w:pStyle w:val="NormalWeb"/>
        <w:jc w:val="both"/>
        <w:rPr>
          <w:rFonts w:ascii="Garamond" w:hAnsi="Garamond"/>
        </w:rPr>
      </w:pPr>
      <w:r w:rsidRPr="003E6A25">
        <w:rPr>
          <w:rFonts w:ascii="Garamond" w:hAnsi="Garamond"/>
        </w:rPr>
        <w:t>Su aplicación no configura una sanción autónoma e independiente del contrato, sino el desarrollo de una obligación previamente aceptada por las partes al momento de celebrar el negocio jurídico.</w:t>
      </w:r>
    </w:p>
    <w:p w14:paraId="2F00B3F9" w14:textId="5203EA3F" w:rsidR="006F4053" w:rsidRPr="003E6A25" w:rsidRDefault="006F4053" w:rsidP="00C46622">
      <w:pPr>
        <w:pStyle w:val="NormalWeb"/>
        <w:jc w:val="both"/>
        <w:rPr>
          <w:rFonts w:ascii="Garamond" w:hAnsi="Garamond"/>
        </w:rPr>
      </w:pPr>
      <w:r w:rsidRPr="003E6A25">
        <w:rPr>
          <w:rFonts w:ascii="Garamond" w:hAnsi="Garamond"/>
        </w:rPr>
        <w:t xml:space="preserve">En el presente caso, el Contrato de Obra Pública </w:t>
      </w:r>
      <w:r w:rsidRPr="006245F0">
        <w:rPr>
          <w:rFonts w:ascii="Garamond" w:hAnsi="Garamond"/>
          <w:b/>
          <w:bCs/>
        </w:rPr>
        <w:t>No. COP-859-2023</w:t>
      </w:r>
      <w:r w:rsidRPr="003E6A25">
        <w:rPr>
          <w:rFonts w:ascii="Garamond" w:hAnsi="Garamond"/>
        </w:rPr>
        <w:t xml:space="preserve"> incorporó expresamente la cláusula penal pecuniaria y el contratista aceptó su contenido al suscribir el contrato.</w:t>
      </w:r>
    </w:p>
    <w:p w14:paraId="630B12C7" w14:textId="6E56C81B" w:rsidR="006F4053" w:rsidRPr="003E6A25" w:rsidRDefault="006F4053" w:rsidP="00824EA9">
      <w:pPr>
        <w:pStyle w:val="NormalWeb"/>
        <w:jc w:val="both"/>
        <w:rPr>
          <w:rFonts w:ascii="Garamond" w:hAnsi="Garamond"/>
        </w:rPr>
      </w:pPr>
      <w:r w:rsidRPr="003E6A25">
        <w:rPr>
          <w:rFonts w:ascii="Garamond" w:hAnsi="Garamond"/>
        </w:rPr>
        <w:t>A su vez, la Administración garantizó el debido proceso durante toda la actuación administrativa y acreditó suficientemente el incumplimiento contractual, razón por la cual concurren los presupuestos para hacer efectiva la cláusula penal en los términos pactados.</w:t>
      </w:r>
    </w:p>
    <w:p w14:paraId="3ADC408C" w14:textId="77777777" w:rsidR="006F4053" w:rsidRPr="003E6A25" w:rsidRDefault="006F4053" w:rsidP="00C46622">
      <w:pPr>
        <w:pStyle w:val="Ttulo2"/>
        <w:jc w:val="both"/>
        <w:rPr>
          <w:rFonts w:ascii="Garamond" w:hAnsi="Garamond"/>
          <w:sz w:val="24"/>
          <w:szCs w:val="24"/>
        </w:rPr>
      </w:pPr>
      <w:r w:rsidRPr="003E6A25">
        <w:rPr>
          <w:rFonts w:ascii="Garamond" w:hAnsi="Garamond"/>
          <w:sz w:val="24"/>
          <w:szCs w:val="24"/>
        </w:rPr>
        <w:t>14.5. La garantía de cumplimiento protege el patrimonio público</w:t>
      </w:r>
    </w:p>
    <w:p w14:paraId="01618440" w14:textId="77777777" w:rsidR="00951262" w:rsidRDefault="006F4053" w:rsidP="00C46622">
      <w:pPr>
        <w:pStyle w:val="NormalWeb"/>
        <w:jc w:val="both"/>
        <w:rPr>
          <w:rFonts w:ascii="Garamond" w:hAnsi="Garamond"/>
        </w:rPr>
      </w:pPr>
      <w:r w:rsidRPr="003E6A25">
        <w:rPr>
          <w:rFonts w:ascii="Garamond" w:hAnsi="Garamond"/>
        </w:rPr>
        <w:t>La jurisprudencia ha señalado igualmente que la finalidad de la garantía única de cumplimiento consiste en proteger el patrimonio público frente a los riesgos derivados del incumplimiento contractual.</w:t>
      </w:r>
    </w:p>
    <w:p w14:paraId="25DE7C90" w14:textId="77777777" w:rsidR="006323AF" w:rsidRDefault="006323AF" w:rsidP="00C46622">
      <w:pPr>
        <w:pStyle w:val="NormalWeb"/>
        <w:jc w:val="both"/>
        <w:rPr>
          <w:rFonts w:ascii="Garamond" w:hAnsi="Garamond"/>
        </w:rPr>
      </w:pPr>
    </w:p>
    <w:p w14:paraId="0E4BA660" w14:textId="676842FB" w:rsidR="006F4053" w:rsidRPr="003E6A25" w:rsidRDefault="006F4053" w:rsidP="00C46622">
      <w:pPr>
        <w:pStyle w:val="NormalWeb"/>
        <w:jc w:val="both"/>
        <w:rPr>
          <w:rFonts w:ascii="Garamond" w:hAnsi="Garamond"/>
        </w:rPr>
      </w:pPr>
      <w:r w:rsidRPr="003E6A25">
        <w:rPr>
          <w:rFonts w:ascii="Garamond" w:hAnsi="Garamond"/>
        </w:rPr>
        <w:t>En consecuencia, una vez declarada la ocurrencia del incumplimiento mediante un acto administrativo debidamente motivado y respetuoso del debido proceso, la Entidad se encuentra facultada para ordenar la efectividad del amparo correspondiente dentro de los límites previstos en la póliza.</w:t>
      </w:r>
    </w:p>
    <w:p w14:paraId="073A6674" w14:textId="6A8514AD" w:rsidR="006F4053" w:rsidRDefault="006F4053" w:rsidP="00C46622">
      <w:pPr>
        <w:pStyle w:val="NormalWeb"/>
        <w:jc w:val="both"/>
        <w:rPr>
          <w:rFonts w:ascii="Garamond" w:hAnsi="Garamond"/>
        </w:rPr>
      </w:pPr>
      <w:r w:rsidRPr="003E6A25">
        <w:rPr>
          <w:rFonts w:ascii="Garamond" w:hAnsi="Garamond"/>
        </w:rPr>
        <w:t>En el presente procedimiento administrativo la compañía aseguradora fue oportunamente vinculada a la actuación, conoció integralmente los hechos objeto de análisis, ejerció su derecho de defensa y participó en las audiencias públicas, razón por la cual la decisión que aquí se adopta resulta plenamente oponible dentro del alcance de la garantía expedida.</w:t>
      </w:r>
    </w:p>
    <w:p w14:paraId="5E32DAC0" w14:textId="77777777" w:rsidR="00C957E5" w:rsidRPr="003E6A25" w:rsidRDefault="00C957E5" w:rsidP="00C957E5">
      <w:pPr>
        <w:pStyle w:val="Ttulo2"/>
        <w:rPr>
          <w:rFonts w:ascii="Garamond" w:hAnsi="Garamond"/>
          <w:sz w:val="24"/>
          <w:szCs w:val="24"/>
        </w:rPr>
      </w:pPr>
      <w:r w:rsidRPr="003E6A25">
        <w:rPr>
          <w:rFonts w:ascii="Garamond" w:hAnsi="Garamond"/>
          <w:sz w:val="24"/>
          <w:szCs w:val="24"/>
        </w:rPr>
        <w:t>14.6. Regla jurisprudencial aplicable al caso concreto</w:t>
      </w:r>
    </w:p>
    <w:p w14:paraId="5FFEDA81" w14:textId="77777777" w:rsidR="00C957E5" w:rsidRPr="006323AF" w:rsidRDefault="00C957E5" w:rsidP="00C957E5">
      <w:pPr>
        <w:pStyle w:val="NormalWeb"/>
        <w:rPr>
          <w:rFonts w:ascii="Garamond" w:hAnsi="Garamond"/>
        </w:rPr>
      </w:pPr>
      <w:r w:rsidRPr="006323AF">
        <w:rPr>
          <w:rFonts w:ascii="Garamond" w:hAnsi="Garamond"/>
        </w:rPr>
        <w:t>Del estudio conjunto de la Constitución Política, las Leyes 80 de 1993, 1150 de 2007 y 1474 de 2011, así como de los criterios jurisprudenciales desarrollados por el Consejo de Estado, este Despacho concluye que para declarar el incumplimiento contractual deben concurrir los siguientes presupuestos:</w:t>
      </w:r>
    </w:p>
    <w:p w14:paraId="3269D906" w14:textId="77777777" w:rsidR="00DB036C" w:rsidRPr="006323AF" w:rsidRDefault="00C957E5" w:rsidP="00DB036C">
      <w:pPr>
        <w:numPr>
          <w:ilvl w:val="0"/>
          <w:numId w:val="35"/>
        </w:numPr>
        <w:spacing w:before="100" w:beforeAutospacing="1" w:after="100" w:afterAutospacing="1"/>
        <w:rPr>
          <w:rFonts w:ascii="Garamond" w:hAnsi="Garamond"/>
        </w:rPr>
      </w:pPr>
      <w:r w:rsidRPr="006323AF">
        <w:rPr>
          <w:rFonts w:ascii="Garamond" w:hAnsi="Garamond"/>
        </w:rPr>
        <w:t xml:space="preserve">La existencia de obligaciones contractuales claras y exigibles. </w:t>
      </w:r>
    </w:p>
    <w:p w14:paraId="6B07D06B" w14:textId="34D0340E" w:rsidR="00C957E5" w:rsidRPr="006323AF" w:rsidRDefault="00C957E5" w:rsidP="00DB036C">
      <w:pPr>
        <w:numPr>
          <w:ilvl w:val="0"/>
          <w:numId w:val="35"/>
        </w:numPr>
        <w:spacing w:before="100" w:beforeAutospacing="1" w:after="100" w:afterAutospacing="1"/>
        <w:rPr>
          <w:rFonts w:ascii="Garamond" w:hAnsi="Garamond"/>
        </w:rPr>
      </w:pPr>
      <w:r w:rsidRPr="006323AF">
        <w:rPr>
          <w:rFonts w:ascii="Garamond" w:hAnsi="Garamond"/>
        </w:rPr>
        <w:t xml:space="preserve">La demostración objetiva del incumplimiento mediante pruebas legalmente recaudadas. </w:t>
      </w:r>
    </w:p>
    <w:p w14:paraId="25D393AE" w14:textId="77777777" w:rsidR="00C957E5" w:rsidRPr="006323AF" w:rsidRDefault="00C957E5" w:rsidP="00C957E5">
      <w:pPr>
        <w:numPr>
          <w:ilvl w:val="0"/>
          <w:numId w:val="35"/>
        </w:numPr>
        <w:spacing w:before="100" w:beforeAutospacing="1" w:after="100" w:afterAutospacing="1"/>
        <w:rPr>
          <w:rFonts w:ascii="Garamond" w:hAnsi="Garamond"/>
        </w:rPr>
      </w:pPr>
      <w:r w:rsidRPr="006323AF">
        <w:rPr>
          <w:rFonts w:ascii="Garamond" w:hAnsi="Garamond"/>
        </w:rPr>
        <w:t xml:space="preserve">La imputabilidad del incumplimiento al contratista. </w:t>
      </w:r>
    </w:p>
    <w:p w14:paraId="40D548F6" w14:textId="77777777" w:rsidR="00C957E5" w:rsidRPr="006323AF" w:rsidRDefault="00C957E5" w:rsidP="00C957E5">
      <w:pPr>
        <w:numPr>
          <w:ilvl w:val="0"/>
          <w:numId w:val="35"/>
        </w:numPr>
        <w:spacing w:before="100" w:beforeAutospacing="1" w:after="100" w:afterAutospacing="1"/>
        <w:rPr>
          <w:rFonts w:ascii="Garamond" w:hAnsi="Garamond"/>
        </w:rPr>
      </w:pPr>
      <w:r w:rsidRPr="006323AF">
        <w:rPr>
          <w:rFonts w:ascii="Garamond" w:hAnsi="Garamond"/>
        </w:rPr>
        <w:t xml:space="preserve">La observancia plena del debido proceso. </w:t>
      </w:r>
    </w:p>
    <w:p w14:paraId="515CDB89" w14:textId="77777777" w:rsidR="00C957E5" w:rsidRPr="006323AF" w:rsidRDefault="00C957E5" w:rsidP="00C957E5">
      <w:pPr>
        <w:numPr>
          <w:ilvl w:val="0"/>
          <w:numId w:val="35"/>
        </w:numPr>
        <w:spacing w:before="100" w:beforeAutospacing="1" w:after="100" w:afterAutospacing="1"/>
        <w:rPr>
          <w:rFonts w:ascii="Garamond" w:hAnsi="Garamond"/>
        </w:rPr>
      </w:pPr>
      <w:r w:rsidRPr="006323AF">
        <w:rPr>
          <w:rFonts w:ascii="Garamond" w:hAnsi="Garamond"/>
        </w:rPr>
        <w:t xml:space="preserve">La motivación suficiente del acto administrativo. </w:t>
      </w:r>
    </w:p>
    <w:p w14:paraId="725EEC43" w14:textId="77777777" w:rsidR="00C957E5" w:rsidRPr="006323AF" w:rsidRDefault="00C957E5" w:rsidP="00C957E5">
      <w:pPr>
        <w:numPr>
          <w:ilvl w:val="0"/>
          <w:numId w:val="35"/>
        </w:numPr>
        <w:spacing w:before="100" w:beforeAutospacing="1" w:after="100" w:afterAutospacing="1"/>
        <w:rPr>
          <w:rFonts w:ascii="Garamond" w:hAnsi="Garamond"/>
        </w:rPr>
      </w:pPr>
      <w:r w:rsidRPr="006323AF">
        <w:rPr>
          <w:rFonts w:ascii="Garamond" w:hAnsi="Garamond"/>
        </w:rPr>
        <w:t xml:space="preserve">La proporcionalidad de las consecuencias contractuales. </w:t>
      </w:r>
    </w:p>
    <w:p w14:paraId="3E9AA9D8" w14:textId="77777777" w:rsidR="00C957E5" w:rsidRPr="006323AF" w:rsidRDefault="00C957E5" w:rsidP="009503BD">
      <w:pPr>
        <w:pStyle w:val="NormalWeb"/>
        <w:jc w:val="both"/>
        <w:rPr>
          <w:rFonts w:ascii="Garamond" w:hAnsi="Garamond"/>
        </w:rPr>
      </w:pPr>
      <w:r w:rsidRPr="006323AF">
        <w:rPr>
          <w:rFonts w:ascii="Garamond" w:hAnsi="Garamond"/>
        </w:rPr>
        <w:t>El análisis desarrollado a lo largo de la presente resolución permite concluir que todos estos presupuestos concurren en el caso del Contrato de Obra Pública No. COP-859-2023, razón por la cual la decisión de declarar el incumplimiento, hacer efectiva la cláusula penal pecuniaria y ordenar la efectividad del amparo de cumplimiento encuentra pleno respaldo constitucional, legal, contractual y jurisprudencial.</w:t>
      </w:r>
    </w:p>
    <w:p w14:paraId="2CE33F27" w14:textId="77777777" w:rsidR="006323AF" w:rsidRDefault="006F4053" w:rsidP="00C46622">
      <w:pPr>
        <w:pStyle w:val="NormalWeb"/>
        <w:jc w:val="both"/>
        <w:rPr>
          <w:rFonts w:ascii="Garamond" w:hAnsi="Garamond"/>
        </w:rPr>
      </w:pPr>
      <w:r w:rsidRPr="006323AF">
        <w:rPr>
          <w:rFonts w:ascii="Garamond" w:hAnsi="Garamond"/>
        </w:rPr>
        <w:t xml:space="preserve">El análisis desarrollado a lo largo de la presente resolución permite concluir que todos estos presupuestos concurren en el caso del Contrato de Obra Pública No. COP-859-2023, razón por </w:t>
      </w:r>
    </w:p>
    <w:p w14:paraId="3A7E530E" w14:textId="77777777" w:rsidR="006323AF" w:rsidRDefault="006323AF" w:rsidP="00C46622">
      <w:pPr>
        <w:pStyle w:val="NormalWeb"/>
        <w:jc w:val="both"/>
        <w:rPr>
          <w:rFonts w:ascii="Garamond" w:hAnsi="Garamond"/>
        </w:rPr>
      </w:pPr>
    </w:p>
    <w:p w14:paraId="75E59DEB" w14:textId="24CE7316" w:rsidR="006F4053" w:rsidRDefault="006F4053" w:rsidP="00C46622">
      <w:pPr>
        <w:pStyle w:val="NormalWeb"/>
        <w:jc w:val="both"/>
        <w:rPr>
          <w:rFonts w:ascii="Garamond" w:hAnsi="Garamond"/>
        </w:rPr>
      </w:pPr>
      <w:r w:rsidRPr="006323AF">
        <w:rPr>
          <w:rFonts w:ascii="Garamond" w:hAnsi="Garamond"/>
        </w:rPr>
        <w:t>la cual la decisión de declarar el incumplimiento, hacer efectiva la cláusula penal pecuniaria y ordenar la efectividad del amparo de cumplimiento encuentra pleno respaldo constitucional, legal, contractual y jurisprudencial.</w:t>
      </w:r>
    </w:p>
    <w:p w14:paraId="1F21D904" w14:textId="396F4ABD" w:rsidR="002B3132" w:rsidRPr="002B3132" w:rsidRDefault="002B3132" w:rsidP="00C46622">
      <w:pPr>
        <w:pStyle w:val="NormalWeb"/>
        <w:jc w:val="both"/>
        <w:rPr>
          <w:rFonts w:ascii="Garamond" w:hAnsi="Garamond"/>
          <w:b/>
          <w:bCs/>
        </w:rPr>
      </w:pPr>
      <w:r w:rsidRPr="002B3132">
        <w:rPr>
          <w:rFonts w:ascii="Garamond" w:hAnsi="Garamond"/>
          <w:b/>
          <w:bCs/>
        </w:rPr>
        <w:t xml:space="preserve">XV. TASACIÓN DE LA </w:t>
      </w:r>
      <w:commentRangeStart w:id="2"/>
      <w:r w:rsidRPr="002B3132">
        <w:rPr>
          <w:rFonts w:ascii="Garamond" w:hAnsi="Garamond"/>
          <w:b/>
          <w:bCs/>
        </w:rPr>
        <w:t>MULTA</w:t>
      </w:r>
      <w:commentRangeEnd w:id="2"/>
      <w:r>
        <w:rPr>
          <w:rStyle w:val="Refdecomentario"/>
          <w:rFonts w:eastAsia="Times New Roman"/>
          <w:kern w:val="0"/>
          <w:lang w:eastAsia="es-CO"/>
        </w:rPr>
        <w:commentReference w:id="2"/>
      </w:r>
    </w:p>
    <w:p w14:paraId="6E0C0D7E" w14:textId="77777777" w:rsidR="00C46622" w:rsidRPr="006323AF" w:rsidRDefault="00C46622" w:rsidP="00824EA9">
      <w:pPr>
        <w:pStyle w:val="Ttulo1"/>
        <w:jc w:val="center"/>
        <w:rPr>
          <w:rFonts w:ascii="Garamond" w:hAnsi="Garamond"/>
          <w:b/>
          <w:bCs/>
          <w:color w:val="auto"/>
          <w:sz w:val="24"/>
          <w:szCs w:val="24"/>
        </w:rPr>
      </w:pPr>
      <w:r w:rsidRPr="006323AF">
        <w:rPr>
          <w:rFonts w:ascii="Garamond" w:hAnsi="Garamond"/>
          <w:b/>
          <w:bCs/>
          <w:color w:val="auto"/>
          <w:sz w:val="24"/>
          <w:szCs w:val="24"/>
        </w:rPr>
        <w:t>RESUELVE</w:t>
      </w:r>
    </w:p>
    <w:p w14:paraId="7EBFA21D" w14:textId="18BB3B6F" w:rsidR="0078327C" w:rsidRPr="006323AF" w:rsidRDefault="00C46622" w:rsidP="0078327C">
      <w:pPr>
        <w:pStyle w:val="Ttulo2"/>
        <w:jc w:val="both"/>
        <w:rPr>
          <w:rFonts w:ascii="Garamond" w:hAnsi="Garamond"/>
          <w:b w:val="0"/>
          <w:bCs w:val="0"/>
          <w:sz w:val="24"/>
          <w:szCs w:val="24"/>
        </w:rPr>
      </w:pPr>
      <w:r w:rsidRPr="006323AF">
        <w:rPr>
          <w:rFonts w:ascii="Garamond" w:hAnsi="Garamond"/>
          <w:sz w:val="24"/>
          <w:szCs w:val="24"/>
        </w:rPr>
        <w:t>ARTÍCULO PRIMERO</w:t>
      </w:r>
      <w:r w:rsidR="0078327C" w:rsidRPr="006323AF">
        <w:rPr>
          <w:rFonts w:ascii="Garamond" w:hAnsi="Garamond"/>
          <w:sz w:val="24"/>
          <w:szCs w:val="24"/>
        </w:rPr>
        <w:t>:</w:t>
      </w:r>
      <w:r w:rsidRPr="006323AF">
        <w:rPr>
          <w:rFonts w:ascii="Garamond" w:hAnsi="Garamond"/>
          <w:b w:val="0"/>
          <w:bCs w:val="0"/>
          <w:sz w:val="24"/>
          <w:szCs w:val="24"/>
        </w:rPr>
        <w:t xml:space="preserve"> Declaratoria de incumplimiento contractual</w:t>
      </w:r>
      <w:r w:rsidR="0078327C" w:rsidRPr="006323AF">
        <w:rPr>
          <w:rFonts w:ascii="Garamond" w:hAnsi="Garamond"/>
          <w:b w:val="0"/>
          <w:bCs w:val="0"/>
          <w:sz w:val="24"/>
          <w:szCs w:val="24"/>
        </w:rPr>
        <w:t>.</w:t>
      </w:r>
    </w:p>
    <w:p w14:paraId="45D9F1A5" w14:textId="3442B8FD" w:rsidR="0098140A" w:rsidRPr="006323AF" w:rsidRDefault="00C46622" w:rsidP="0078327C">
      <w:pPr>
        <w:pStyle w:val="Ttulo2"/>
        <w:jc w:val="both"/>
        <w:rPr>
          <w:rFonts w:ascii="Garamond" w:hAnsi="Garamond"/>
          <w:b w:val="0"/>
          <w:bCs w:val="0"/>
          <w:sz w:val="24"/>
          <w:szCs w:val="24"/>
        </w:rPr>
      </w:pPr>
      <w:r w:rsidRPr="006323AF">
        <w:rPr>
          <w:rFonts w:ascii="Garamond" w:hAnsi="Garamond"/>
          <w:b w:val="0"/>
          <w:bCs w:val="0"/>
          <w:sz w:val="24"/>
          <w:szCs w:val="24"/>
        </w:rPr>
        <w:t>.</w:t>
      </w:r>
      <w:r w:rsidR="0098140A" w:rsidRPr="006323AF">
        <w:rPr>
          <w:rFonts w:ascii="Garamond" w:eastAsia="Calibri" w:hAnsi="Garamond"/>
          <w:b w:val="0"/>
          <w:bCs w:val="0"/>
          <w:sz w:val="24"/>
          <w:szCs w:val="24"/>
        </w:rPr>
        <w:br/>
      </w:r>
      <w:r w:rsidR="0098140A" w:rsidRPr="006323AF">
        <w:rPr>
          <w:rFonts w:ascii="Garamond" w:eastAsia="Calibri" w:hAnsi="Garamond"/>
          <w:sz w:val="24"/>
          <w:szCs w:val="24"/>
        </w:rPr>
        <w:t>DECLARAR</w:t>
      </w:r>
      <w:r w:rsidR="0098140A" w:rsidRPr="006323AF">
        <w:rPr>
          <w:rFonts w:ascii="Garamond" w:eastAsia="Calibri" w:hAnsi="Garamond"/>
          <w:b w:val="0"/>
          <w:bCs w:val="0"/>
          <w:sz w:val="24"/>
          <w:szCs w:val="24"/>
        </w:rPr>
        <w:t xml:space="preserve">, </w:t>
      </w:r>
      <w:r w:rsidR="0078327C" w:rsidRPr="006323AF">
        <w:rPr>
          <w:rFonts w:ascii="Garamond" w:eastAsia="Calibri" w:hAnsi="Garamond"/>
          <w:b w:val="0"/>
          <w:bCs w:val="0"/>
          <w:sz w:val="24"/>
          <w:szCs w:val="24"/>
        </w:rPr>
        <w:t>C</w:t>
      </w:r>
      <w:r w:rsidR="0098140A" w:rsidRPr="006323AF">
        <w:rPr>
          <w:rFonts w:ascii="Garamond" w:eastAsia="Calibri" w:hAnsi="Garamond"/>
          <w:b w:val="0"/>
          <w:bCs w:val="0"/>
          <w:sz w:val="24"/>
          <w:szCs w:val="24"/>
        </w:rPr>
        <w:t xml:space="preserve">on fundamento en las consideraciones de hecho y de derecho expuestas en la parte motiva de la presente resolución, y una vez agotado el procedimiento administrativo previsto en el artículo 86 de la Ley 1474 de 2011, que la </w:t>
      </w:r>
      <w:r w:rsidR="0098140A" w:rsidRPr="006323AF">
        <w:rPr>
          <w:rFonts w:ascii="Garamond" w:eastAsia="Calibri" w:hAnsi="Garamond"/>
          <w:sz w:val="24"/>
          <w:szCs w:val="24"/>
        </w:rPr>
        <w:t>UNIÓN TEMPORAL BOLÍVAR (NIT</w:t>
      </w:r>
      <w:r w:rsidR="0098140A" w:rsidRPr="006323AF">
        <w:rPr>
          <w:rFonts w:ascii="Garamond" w:eastAsia="Calibri" w:hAnsi="Garamond"/>
          <w:b w:val="0"/>
          <w:bCs w:val="0"/>
          <w:sz w:val="24"/>
          <w:szCs w:val="24"/>
        </w:rPr>
        <w:t xml:space="preserve"> </w:t>
      </w:r>
      <w:r w:rsidR="0098140A" w:rsidRPr="006323AF">
        <w:rPr>
          <w:rFonts w:ascii="Garamond" w:eastAsia="Calibri" w:hAnsi="Garamond"/>
          <w:sz w:val="24"/>
          <w:szCs w:val="24"/>
        </w:rPr>
        <w:t>No. 901.788.725-1),</w:t>
      </w:r>
      <w:r w:rsidR="0098140A" w:rsidRPr="006323AF">
        <w:rPr>
          <w:rFonts w:ascii="Garamond" w:eastAsia="Calibri" w:hAnsi="Garamond"/>
          <w:b w:val="0"/>
          <w:bCs w:val="0"/>
          <w:sz w:val="24"/>
          <w:szCs w:val="24"/>
        </w:rPr>
        <w:t xml:space="preserve"> representada legalmente por el señor </w:t>
      </w:r>
      <w:r w:rsidR="0098140A" w:rsidRPr="006323AF">
        <w:rPr>
          <w:rFonts w:ascii="Garamond" w:eastAsia="Calibri" w:hAnsi="Garamond"/>
          <w:sz w:val="24"/>
          <w:szCs w:val="24"/>
        </w:rPr>
        <w:t>LUDWIG PÁEZ MUÑOZ</w:t>
      </w:r>
      <w:r w:rsidR="0098140A" w:rsidRPr="006323AF">
        <w:rPr>
          <w:rFonts w:ascii="Garamond" w:eastAsia="Calibri" w:hAnsi="Garamond"/>
          <w:b w:val="0"/>
          <w:bCs w:val="0"/>
          <w:sz w:val="24"/>
          <w:szCs w:val="24"/>
        </w:rPr>
        <w:t xml:space="preserve"> (C.C. No. 79.865.330), e integrada por las firmas solidariamente responsables: </w:t>
      </w:r>
      <w:r w:rsidR="0098140A" w:rsidRPr="006323AF">
        <w:rPr>
          <w:rFonts w:ascii="Garamond" w:eastAsia="Calibri" w:hAnsi="Garamond"/>
          <w:sz w:val="24"/>
          <w:szCs w:val="24"/>
        </w:rPr>
        <w:t>MASEB INGENIERÍA S.A.S. (NIT 901.579.224–7)</w:t>
      </w:r>
      <w:r w:rsidR="0098140A" w:rsidRPr="006323AF">
        <w:rPr>
          <w:rFonts w:ascii="Garamond" w:eastAsia="Calibri" w:hAnsi="Garamond"/>
          <w:b w:val="0"/>
          <w:bCs w:val="0"/>
          <w:sz w:val="24"/>
          <w:szCs w:val="24"/>
        </w:rPr>
        <w:t xml:space="preserve"> con el cincuenta por ciento </w:t>
      </w:r>
      <w:r w:rsidR="0098140A" w:rsidRPr="006323AF">
        <w:rPr>
          <w:rFonts w:ascii="Garamond" w:eastAsia="Calibri" w:hAnsi="Garamond"/>
          <w:sz w:val="24"/>
          <w:szCs w:val="24"/>
        </w:rPr>
        <w:t>(50%)</w:t>
      </w:r>
      <w:r w:rsidR="0098140A" w:rsidRPr="006323AF">
        <w:rPr>
          <w:rFonts w:ascii="Garamond" w:eastAsia="Calibri" w:hAnsi="Garamond"/>
          <w:b w:val="0"/>
          <w:bCs w:val="0"/>
          <w:sz w:val="24"/>
          <w:szCs w:val="24"/>
        </w:rPr>
        <w:t xml:space="preserve"> de participación; </w:t>
      </w:r>
      <w:r w:rsidR="0098140A" w:rsidRPr="006245F0">
        <w:rPr>
          <w:rFonts w:ascii="Garamond" w:eastAsia="Calibri" w:hAnsi="Garamond"/>
          <w:sz w:val="24"/>
          <w:szCs w:val="24"/>
        </w:rPr>
        <w:t>ELECTROLED DE COLOMBIA S.A.S. (NIT 900.560.672–6)</w:t>
      </w:r>
      <w:r w:rsidR="0098140A" w:rsidRPr="006323AF">
        <w:rPr>
          <w:rFonts w:ascii="Garamond" w:eastAsia="Calibri" w:hAnsi="Garamond"/>
          <w:b w:val="0"/>
          <w:bCs w:val="0"/>
          <w:sz w:val="24"/>
          <w:szCs w:val="24"/>
        </w:rPr>
        <w:t xml:space="preserve"> con el cuarenta por ciento </w:t>
      </w:r>
      <w:r w:rsidR="0098140A" w:rsidRPr="006245F0">
        <w:rPr>
          <w:rFonts w:ascii="Garamond" w:eastAsia="Calibri" w:hAnsi="Garamond"/>
          <w:sz w:val="24"/>
          <w:szCs w:val="24"/>
        </w:rPr>
        <w:t>(40%)</w:t>
      </w:r>
      <w:r w:rsidR="0098140A" w:rsidRPr="006323AF">
        <w:rPr>
          <w:rFonts w:ascii="Garamond" w:eastAsia="Calibri" w:hAnsi="Garamond"/>
          <w:b w:val="0"/>
          <w:bCs w:val="0"/>
          <w:sz w:val="24"/>
          <w:szCs w:val="24"/>
        </w:rPr>
        <w:t xml:space="preserve"> de participación; y </w:t>
      </w:r>
      <w:r w:rsidR="0098140A" w:rsidRPr="006245F0">
        <w:rPr>
          <w:rFonts w:ascii="Garamond" w:eastAsia="Calibri" w:hAnsi="Garamond"/>
          <w:sz w:val="24"/>
          <w:szCs w:val="24"/>
        </w:rPr>
        <w:t>SMARTECHS SOLUTIONS S.A.S. (NIT 901.122.787–1)</w:t>
      </w:r>
      <w:r w:rsidR="0098140A" w:rsidRPr="006323AF">
        <w:rPr>
          <w:rFonts w:ascii="Garamond" w:eastAsia="Calibri" w:hAnsi="Garamond"/>
          <w:b w:val="0"/>
          <w:bCs w:val="0"/>
          <w:sz w:val="24"/>
          <w:szCs w:val="24"/>
        </w:rPr>
        <w:t xml:space="preserve"> con el diez por ciento </w:t>
      </w:r>
      <w:r w:rsidR="0098140A" w:rsidRPr="006245F0">
        <w:rPr>
          <w:rFonts w:ascii="Garamond" w:eastAsia="Calibri" w:hAnsi="Garamond"/>
          <w:sz w:val="24"/>
          <w:szCs w:val="24"/>
        </w:rPr>
        <w:t>(10%)</w:t>
      </w:r>
      <w:r w:rsidR="0098140A" w:rsidRPr="006323AF">
        <w:rPr>
          <w:rFonts w:ascii="Garamond" w:eastAsia="Calibri" w:hAnsi="Garamond"/>
          <w:b w:val="0"/>
          <w:bCs w:val="0"/>
          <w:sz w:val="24"/>
          <w:szCs w:val="24"/>
        </w:rPr>
        <w:t xml:space="preserve"> de participación, </w:t>
      </w:r>
      <w:r w:rsidR="0098140A" w:rsidRPr="006245F0">
        <w:rPr>
          <w:rFonts w:ascii="Garamond" w:eastAsia="Calibri" w:hAnsi="Garamond"/>
          <w:sz w:val="24"/>
          <w:szCs w:val="24"/>
        </w:rPr>
        <w:t>INCUMPLIÓ</w:t>
      </w:r>
      <w:r w:rsidR="0098140A" w:rsidRPr="006323AF">
        <w:rPr>
          <w:rFonts w:ascii="Garamond" w:eastAsia="Calibri" w:hAnsi="Garamond"/>
          <w:b w:val="0"/>
          <w:bCs w:val="0"/>
          <w:sz w:val="24"/>
          <w:szCs w:val="24"/>
        </w:rPr>
        <w:t xml:space="preserve"> las obligaciones principales y esenciales derivadas del Contrato de Obra Pública </w:t>
      </w:r>
      <w:r w:rsidR="0098140A" w:rsidRPr="006245F0">
        <w:rPr>
          <w:rFonts w:ascii="Garamond" w:eastAsia="Calibri" w:hAnsi="Garamond"/>
          <w:sz w:val="24"/>
          <w:szCs w:val="24"/>
        </w:rPr>
        <w:t>No. COP-859-2023</w:t>
      </w:r>
      <w:r w:rsidR="0098140A" w:rsidRPr="006323AF">
        <w:rPr>
          <w:rFonts w:ascii="Garamond" w:eastAsia="Calibri" w:hAnsi="Garamond"/>
          <w:b w:val="0"/>
          <w:bCs w:val="0"/>
          <w:sz w:val="24"/>
          <w:szCs w:val="24"/>
        </w:rPr>
        <w:t xml:space="preserve">. El objeto de dicho contrato consiste en </w:t>
      </w:r>
      <w:r w:rsidR="0098140A" w:rsidRPr="006323AF">
        <w:rPr>
          <w:rFonts w:ascii="Garamond" w:eastAsia="Calibri" w:hAnsi="Garamond"/>
          <w:b w:val="0"/>
          <w:bCs w:val="0"/>
          <w:i/>
          <w:iCs/>
          <w:sz w:val="24"/>
          <w:szCs w:val="24"/>
        </w:rPr>
        <w:t>"Contratar a precios unitarios sin fórmula de reajuste y a monto agotable las obras de mejoramiento, adecuación e implementación de energías alternativas seleccionadas por la Entidad para las viviendas rurales priorizadas en la localidad de Ciudad Bolívar, Bogotá D.C."</w:t>
      </w:r>
      <w:r w:rsidR="0098140A" w:rsidRPr="006323AF">
        <w:rPr>
          <w:rFonts w:ascii="Garamond" w:eastAsia="Calibri" w:hAnsi="Garamond"/>
          <w:b w:val="0"/>
          <w:bCs w:val="0"/>
          <w:sz w:val="24"/>
          <w:szCs w:val="24"/>
        </w:rPr>
        <w:t>.</w:t>
      </w:r>
    </w:p>
    <w:p w14:paraId="551810AB" w14:textId="1C1AA1E2" w:rsidR="0098140A" w:rsidRPr="006323AF" w:rsidRDefault="0098140A" w:rsidP="0078327C">
      <w:pPr>
        <w:pStyle w:val="NormalWeb"/>
        <w:jc w:val="both"/>
        <w:rPr>
          <w:rFonts w:ascii="Garamond" w:hAnsi="Garamond"/>
        </w:rPr>
      </w:pPr>
      <w:r w:rsidRPr="006323AF">
        <w:rPr>
          <w:rFonts w:ascii="Garamond" w:hAnsi="Garamond"/>
        </w:rPr>
        <w:t xml:space="preserve">La presente decisión se adopta al encontrarse plenamente acreditado en el expediente que el contratista no ejecutó cabalmente las obligaciones contractuales a su cargo dentro del plazo efectivamente otorgado, dejando un saldo de obra sin ejecutar equivalente </w:t>
      </w:r>
      <w:r w:rsidR="0078327C" w:rsidRPr="006323AF">
        <w:rPr>
          <w:rFonts w:ascii="Garamond" w:hAnsi="Garamond"/>
        </w:rPr>
        <w:t xml:space="preserve">a los cuarenta y siete coma </w:t>
      </w:r>
      <w:r w:rsidRPr="006323AF">
        <w:rPr>
          <w:rFonts w:ascii="Garamond" w:hAnsi="Garamond"/>
        </w:rPr>
        <w:t>noventa y tres por ciento (47,93 %) del objeto contractual, sin que se demostraran eximentes de responsabilidad contractual.</w:t>
      </w:r>
    </w:p>
    <w:p w14:paraId="215569BB" w14:textId="77777777" w:rsidR="006323AF" w:rsidRDefault="006323AF" w:rsidP="0078327C">
      <w:pPr>
        <w:pStyle w:val="Ttulo2"/>
        <w:jc w:val="both"/>
        <w:rPr>
          <w:rFonts w:ascii="Garamond" w:hAnsi="Garamond"/>
          <w:sz w:val="24"/>
          <w:szCs w:val="24"/>
        </w:rPr>
      </w:pPr>
    </w:p>
    <w:p w14:paraId="2FFF812F" w14:textId="7A9AD7CA" w:rsidR="00C46622" w:rsidRPr="006323AF" w:rsidRDefault="00C46622" w:rsidP="0078327C">
      <w:pPr>
        <w:pStyle w:val="Ttulo2"/>
        <w:jc w:val="both"/>
        <w:rPr>
          <w:rFonts w:ascii="Garamond" w:hAnsi="Garamond"/>
          <w:b w:val="0"/>
          <w:bCs w:val="0"/>
          <w:sz w:val="24"/>
          <w:szCs w:val="24"/>
        </w:rPr>
      </w:pPr>
      <w:r w:rsidRPr="006323AF">
        <w:rPr>
          <w:rFonts w:ascii="Garamond" w:hAnsi="Garamond"/>
          <w:sz w:val="24"/>
          <w:szCs w:val="24"/>
        </w:rPr>
        <w:t>ARTÍCULO SEGUNDO</w:t>
      </w:r>
      <w:r w:rsidR="0078327C" w:rsidRPr="006323AF">
        <w:rPr>
          <w:rFonts w:ascii="Garamond" w:hAnsi="Garamond"/>
          <w:sz w:val="24"/>
          <w:szCs w:val="24"/>
        </w:rPr>
        <w:t xml:space="preserve">: </w:t>
      </w:r>
      <w:r w:rsidRPr="006323AF">
        <w:rPr>
          <w:rFonts w:ascii="Garamond" w:hAnsi="Garamond"/>
          <w:b w:val="0"/>
          <w:bCs w:val="0"/>
          <w:sz w:val="24"/>
          <w:szCs w:val="24"/>
        </w:rPr>
        <w:t>Declaratoria de ocurrencia del siniestro.</w:t>
      </w:r>
    </w:p>
    <w:p w14:paraId="780BAA3C" w14:textId="31F1BB66" w:rsidR="00C46622" w:rsidRPr="006323AF" w:rsidRDefault="00C46622" w:rsidP="0078327C">
      <w:pPr>
        <w:pStyle w:val="NormalWeb"/>
        <w:jc w:val="both"/>
        <w:rPr>
          <w:rFonts w:ascii="Garamond" w:hAnsi="Garamond"/>
        </w:rPr>
      </w:pPr>
      <w:r w:rsidRPr="006323AF">
        <w:rPr>
          <w:rStyle w:val="Textoennegrita"/>
          <w:rFonts w:ascii="Garamond" w:hAnsi="Garamond"/>
        </w:rPr>
        <w:t>DECLARAR</w:t>
      </w:r>
      <w:r w:rsidR="0078327C" w:rsidRPr="006323AF">
        <w:rPr>
          <w:rStyle w:val="Textoennegrita"/>
          <w:rFonts w:ascii="Garamond" w:hAnsi="Garamond"/>
        </w:rPr>
        <w:t xml:space="preserve">,    </w:t>
      </w:r>
      <w:r w:rsidRPr="006323AF">
        <w:rPr>
          <w:rFonts w:ascii="Garamond" w:hAnsi="Garamond"/>
        </w:rPr>
        <w:t xml:space="preserve"> </w:t>
      </w:r>
      <w:r w:rsidR="0078327C" w:rsidRPr="006323AF">
        <w:rPr>
          <w:rFonts w:ascii="Garamond" w:hAnsi="Garamond"/>
        </w:rPr>
        <w:t>L</w:t>
      </w:r>
      <w:r w:rsidRPr="006323AF">
        <w:rPr>
          <w:rFonts w:ascii="Garamond" w:hAnsi="Garamond"/>
        </w:rPr>
        <w:t xml:space="preserve">a ocurrencia del siniestro de incumplimiento amparado por la Garantía Única de Cumplimiento constituida para respaldar las obligaciones derivadas del Contrato de Obra Pública </w:t>
      </w:r>
      <w:r w:rsidRPr="006323AF">
        <w:rPr>
          <w:rFonts w:ascii="Garamond" w:hAnsi="Garamond"/>
          <w:b/>
          <w:bCs/>
        </w:rPr>
        <w:t>No. COP-859-2023</w:t>
      </w:r>
      <w:r w:rsidRPr="006323AF">
        <w:rPr>
          <w:rFonts w:ascii="Garamond" w:hAnsi="Garamond"/>
        </w:rPr>
        <w:t>, por configurarse los presupuestos contractuales y legales que hacen exigible el amparo de cumplimiento, de conformidad con lo expuesto en la parte motiva del presente acto administrativo.</w:t>
      </w:r>
    </w:p>
    <w:p w14:paraId="1B9551B3" w14:textId="623F3407" w:rsidR="0098140A" w:rsidRPr="006323AF" w:rsidRDefault="00C46622" w:rsidP="0078327C">
      <w:pPr>
        <w:pStyle w:val="Ttulo2"/>
        <w:jc w:val="both"/>
        <w:rPr>
          <w:rFonts w:ascii="Garamond" w:eastAsia="Calibri" w:hAnsi="Garamond"/>
          <w:b w:val="0"/>
          <w:bCs w:val="0"/>
          <w:sz w:val="24"/>
          <w:szCs w:val="24"/>
        </w:rPr>
      </w:pPr>
      <w:r w:rsidRPr="006323AF">
        <w:rPr>
          <w:rFonts w:ascii="Garamond" w:hAnsi="Garamond"/>
          <w:sz w:val="24"/>
          <w:szCs w:val="24"/>
        </w:rPr>
        <w:t>ARTÍCULO TERCERO</w:t>
      </w:r>
      <w:r w:rsidR="0078327C" w:rsidRPr="006323AF">
        <w:rPr>
          <w:rFonts w:ascii="Garamond" w:hAnsi="Garamond"/>
          <w:sz w:val="24"/>
          <w:szCs w:val="24"/>
        </w:rPr>
        <w:t xml:space="preserve">: </w:t>
      </w:r>
      <w:r w:rsidRPr="006323AF">
        <w:rPr>
          <w:rFonts w:ascii="Garamond" w:hAnsi="Garamond"/>
          <w:b w:val="0"/>
          <w:bCs w:val="0"/>
          <w:sz w:val="24"/>
          <w:szCs w:val="24"/>
        </w:rPr>
        <w:t xml:space="preserve"> Efectividad de la cláusula penal </w:t>
      </w:r>
      <w:r w:rsidR="0078327C" w:rsidRPr="006323AF">
        <w:rPr>
          <w:rFonts w:ascii="Garamond" w:hAnsi="Garamond"/>
          <w:b w:val="0"/>
          <w:bCs w:val="0"/>
          <w:sz w:val="24"/>
          <w:szCs w:val="24"/>
        </w:rPr>
        <w:t>pecuniaria.</w:t>
      </w:r>
      <w:r w:rsidR="0078327C" w:rsidRPr="006323AF">
        <w:rPr>
          <w:rFonts w:ascii="Garamond" w:eastAsia="Calibri" w:hAnsi="Garamond"/>
          <w:b w:val="0"/>
          <w:bCs w:val="0"/>
          <w:sz w:val="24"/>
          <w:szCs w:val="24"/>
        </w:rPr>
        <w:t xml:space="preserve"> Efectividad</w:t>
      </w:r>
      <w:r w:rsidR="0098140A" w:rsidRPr="006323AF">
        <w:rPr>
          <w:rFonts w:ascii="Garamond" w:eastAsia="Calibri" w:hAnsi="Garamond"/>
          <w:b w:val="0"/>
          <w:bCs w:val="0"/>
          <w:sz w:val="24"/>
          <w:szCs w:val="24"/>
        </w:rPr>
        <w:t xml:space="preserve"> de la cláusula</w:t>
      </w:r>
      <w:r w:rsidR="0078327C" w:rsidRPr="006323AF">
        <w:rPr>
          <w:rFonts w:ascii="Garamond" w:eastAsia="Calibri" w:hAnsi="Garamond"/>
          <w:b w:val="0"/>
          <w:bCs w:val="0"/>
          <w:sz w:val="24"/>
          <w:szCs w:val="24"/>
        </w:rPr>
        <w:t>.</w:t>
      </w:r>
      <w:r w:rsidR="0098140A" w:rsidRPr="006323AF">
        <w:rPr>
          <w:rFonts w:ascii="Garamond" w:eastAsia="Calibri" w:hAnsi="Garamond"/>
          <w:b w:val="0"/>
          <w:bCs w:val="0"/>
          <w:sz w:val="24"/>
          <w:szCs w:val="24"/>
        </w:rPr>
        <w:br/>
      </w:r>
      <w:r w:rsidR="0098140A" w:rsidRPr="006323AF">
        <w:rPr>
          <w:rFonts w:ascii="Garamond" w:eastAsia="Calibri" w:hAnsi="Garamond"/>
          <w:sz w:val="24"/>
          <w:szCs w:val="24"/>
        </w:rPr>
        <w:t>HACER EFECTIVA</w:t>
      </w:r>
      <w:r w:rsidR="0078327C" w:rsidRPr="006323AF">
        <w:rPr>
          <w:rFonts w:ascii="Garamond" w:eastAsia="Calibri" w:hAnsi="Garamond"/>
          <w:sz w:val="24"/>
          <w:szCs w:val="24"/>
        </w:rPr>
        <w:t>.</w:t>
      </w:r>
      <w:r w:rsidR="0098140A" w:rsidRPr="006323AF">
        <w:rPr>
          <w:rFonts w:ascii="Garamond" w:eastAsia="Calibri" w:hAnsi="Garamond"/>
          <w:b w:val="0"/>
          <w:bCs w:val="0"/>
          <w:sz w:val="24"/>
          <w:szCs w:val="24"/>
        </w:rPr>
        <w:t xml:space="preserve"> </w:t>
      </w:r>
      <w:r w:rsidR="0078327C" w:rsidRPr="006323AF">
        <w:rPr>
          <w:rFonts w:ascii="Garamond" w:eastAsia="Calibri" w:hAnsi="Garamond"/>
          <w:b w:val="0"/>
          <w:bCs w:val="0"/>
          <w:sz w:val="24"/>
          <w:szCs w:val="24"/>
        </w:rPr>
        <w:t>L</w:t>
      </w:r>
      <w:r w:rsidR="0098140A" w:rsidRPr="006323AF">
        <w:rPr>
          <w:rFonts w:ascii="Garamond" w:eastAsia="Calibri" w:hAnsi="Garamond"/>
          <w:b w:val="0"/>
          <w:bCs w:val="0"/>
          <w:sz w:val="24"/>
          <w:szCs w:val="24"/>
        </w:rPr>
        <w:t xml:space="preserve">a cláusula penal pecuniaria pactada en la cláusula décima sexta (16) del Contrato de Obra Pública No. COP-859-2023. Para el efecto, y en estricto cumplimiento de los principios de proporcionalidad y equidad, la sanción se tasa sobre el veinte por ciento (20 %) del valor de la fracción incumplida del objeto contractual (47,93 %), lo que arroja la suma líquida de </w:t>
      </w:r>
      <w:r w:rsidR="0098140A" w:rsidRPr="006323AF">
        <w:rPr>
          <w:rFonts w:ascii="Garamond" w:eastAsia="Calibri" w:hAnsi="Garamond"/>
          <w:sz w:val="24"/>
          <w:szCs w:val="24"/>
        </w:rPr>
        <w:t>CIENTO VEINTINUEVE MILLONES SETECIENTOS VEINTIDÓS MIL CUATROCIENTOS OCHO PESOS CON SETENTA Y TRES CENTAVOS M/CTE</w:t>
      </w:r>
      <w:r w:rsidR="0098140A" w:rsidRPr="006323AF">
        <w:rPr>
          <w:rFonts w:ascii="Garamond" w:eastAsia="Calibri" w:hAnsi="Garamond"/>
          <w:b w:val="0"/>
          <w:bCs w:val="0"/>
          <w:sz w:val="24"/>
          <w:szCs w:val="24"/>
        </w:rPr>
        <w:t xml:space="preserve"> </w:t>
      </w:r>
      <w:r w:rsidR="0098140A" w:rsidRPr="006323AF">
        <w:rPr>
          <w:rFonts w:ascii="Garamond" w:eastAsia="Calibri" w:hAnsi="Garamond"/>
          <w:sz w:val="24"/>
          <w:szCs w:val="24"/>
        </w:rPr>
        <w:t>($129.722.408,73),</w:t>
      </w:r>
      <w:r w:rsidR="0098140A" w:rsidRPr="006323AF">
        <w:rPr>
          <w:rFonts w:ascii="Garamond" w:eastAsia="Calibri" w:hAnsi="Garamond"/>
          <w:b w:val="0"/>
          <w:bCs w:val="0"/>
          <w:sz w:val="24"/>
          <w:szCs w:val="24"/>
        </w:rPr>
        <w:t xml:space="preserve"> como consecuencia del incumplimiento declarado en la presente resolución.</w:t>
      </w:r>
    </w:p>
    <w:p w14:paraId="7056C67F" w14:textId="3FB1EF1F" w:rsidR="00C46622" w:rsidRPr="006323AF" w:rsidRDefault="0098140A" w:rsidP="0078327C">
      <w:pPr>
        <w:pStyle w:val="NormalWeb"/>
        <w:jc w:val="both"/>
        <w:rPr>
          <w:rFonts w:ascii="Garamond" w:hAnsi="Garamond"/>
        </w:rPr>
      </w:pPr>
      <w:r w:rsidRPr="006323AF">
        <w:rPr>
          <w:rFonts w:ascii="Garamond" w:hAnsi="Garamond"/>
        </w:rPr>
        <w:t>La efectividad de la cláusula penal pecuniaria se dispone sin perjuicio de las demás acciones administrativas o judiciales que la Entidad pueda ejercer para obtener la reparación integral de los perjuicios que excedan el valor previamente estimado por las partes.</w:t>
      </w:r>
    </w:p>
    <w:p w14:paraId="4C09E63B" w14:textId="02349F16" w:rsidR="00C46622" w:rsidRPr="006323AF" w:rsidRDefault="00C46622" w:rsidP="0078327C">
      <w:pPr>
        <w:pStyle w:val="Ttulo2"/>
        <w:jc w:val="both"/>
        <w:rPr>
          <w:rFonts w:ascii="Garamond" w:hAnsi="Garamond"/>
          <w:b w:val="0"/>
          <w:bCs w:val="0"/>
          <w:sz w:val="24"/>
          <w:szCs w:val="24"/>
        </w:rPr>
      </w:pPr>
      <w:r w:rsidRPr="006323AF">
        <w:rPr>
          <w:rFonts w:ascii="Garamond" w:hAnsi="Garamond"/>
          <w:sz w:val="24"/>
          <w:szCs w:val="24"/>
        </w:rPr>
        <w:t>ARTÍCULO CUARTO</w:t>
      </w:r>
      <w:r w:rsidR="0078327C" w:rsidRPr="006323AF">
        <w:rPr>
          <w:rFonts w:ascii="Garamond" w:hAnsi="Garamond"/>
          <w:sz w:val="24"/>
          <w:szCs w:val="24"/>
        </w:rPr>
        <w:t>:</w:t>
      </w:r>
      <w:r w:rsidRPr="006323AF">
        <w:rPr>
          <w:rFonts w:ascii="Garamond" w:hAnsi="Garamond"/>
          <w:b w:val="0"/>
          <w:bCs w:val="0"/>
          <w:sz w:val="24"/>
          <w:szCs w:val="24"/>
        </w:rPr>
        <w:t xml:space="preserve"> Efectividad del amparo de cumplimiento.</w:t>
      </w:r>
    </w:p>
    <w:p w14:paraId="571263BF" w14:textId="0A28E986" w:rsidR="00CD422F" w:rsidRPr="0078327C" w:rsidRDefault="00C46622" w:rsidP="0078327C">
      <w:pPr>
        <w:pStyle w:val="NormalWeb"/>
        <w:jc w:val="both"/>
        <w:rPr>
          <w:rFonts w:ascii="Garamond" w:hAnsi="Garamond"/>
        </w:rPr>
      </w:pPr>
      <w:r w:rsidRPr="0078327C">
        <w:rPr>
          <w:rStyle w:val="Textoennegrita"/>
          <w:rFonts w:ascii="Garamond" w:hAnsi="Garamond"/>
        </w:rPr>
        <w:t>ORDENAR</w:t>
      </w:r>
      <w:r w:rsidR="006323AF">
        <w:rPr>
          <w:rFonts w:ascii="Garamond" w:hAnsi="Garamond"/>
        </w:rPr>
        <w:t xml:space="preserve">. </w:t>
      </w:r>
      <w:r w:rsidR="00CD422F" w:rsidRPr="0078327C">
        <w:rPr>
          <w:rFonts w:ascii="Garamond" w:hAnsi="Garamond"/>
        </w:rPr>
        <w:t xml:space="preserve"> </w:t>
      </w:r>
      <w:r w:rsidR="0078327C">
        <w:rPr>
          <w:rFonts w:ascii="Garamond" w:hAnsi="Garamond"/>
        </w:rPr>
        <w:t>H</w:t>
      </w:r>
      <w:r w:rsidR="00CD422F" w:rsidRPr="0078327C">
        <w:rPr>
          <w:rFonts w:ascii="Garamond" w:hAnsi="Garamond"/>
        </w:rPr>
        <w:t xml:space="preserve">acer efectiva la Garantía Única de Cumplimiento, específicamente el amparo de cumplimiento contenido en la póliza </w:t>
      </w:r>
      <w:r w:rsidR="00CD422F" w:rsidRPr="006323AF">
        <w:rPr>
          <w:rFonts w:ascii="Garamond" w:hAnsi="Garamond"/>
          <w:b/>
          <w:bCs/>
        </w:rPr>
        <w:t>No. CBO-100021357</w:t>
      </w:r>
      <w:r w:rsidR="00CD422F" w:rsidRPr="0078327C">
        <w:rPr>
          <w:rFonts w:ascii="Garamond" w:hAnsi="Garamond"/>
        </w:rPr>
        <w:t xml:space="preserve"> (Certificado No. 130072626) expedida por la </w:t>
      </w:r>
      <w:r w:rsidR="00CD422F" w:rsidRPr="006323AF">
        <w:rPr>
          <w:rFonts w:ascii="Garamond" w:hAnsi="Garamond"/>
          <w:b/>
          <w:bCs/>
        </w:rPr>
        <w:t>COMPAÑÍA MUNDIAL DE SEGUROS S.A. (NIT 860.037.013-6</w:t>
      </w:r>
      <w:r w:rsidR="00CD422F" w:rsidRPr="0078327C">
        <w:rPr>
          <w:rFonts w:ascii="Garamond" w:hAnsi="Garamond"/>
        </w:rPr>
        <w:t>), hasta por el valor del perjuicio decretado en el artículo anterior y dentro de los límites de la suma asegurada establecidos en la respectiva póliza.</w:t>
      </w:r>
    </w:p>
    <w:p w14:paraId="46D215D2" w14:textId="77777777" w:rsidR="006323AF" w:rsidRDefault="006323AF" w:rsidP="0078327C">
      <w:pPr>
        <w:pStyle w:val="NormalWeb"/>
        <w:jc w:val="both"/>
        <w:rPr>
          <w:rFonts w:ascii="Garamond" w:hAnsi="Garamond"/>
        </w:rPr>
      </w:pPr>
    </w:p>
    <w:p w14:paraId="7370A7B4" w14:textId="75E92D24" w:rsidR="00C46622" w:rsidRPr="006323AF" w:rsidRDefault="00CD422F" w:rsidP="006323AF">
      <w:pPr>
        <w:pStyle w:val="NormalWeb"/>
        <w:jc w:val="both"/>
        <w:rPr>
          <w:rFonts w:ascii="Garamond" w:hAnsi="Garamond"/>
        </w:rPr>
      </w:pPr>
      <w:r w:rsidRPr="0078327C">
        <w:rPr>
          <w:rFonts w:ascii="Garamond" w:hAnsi="Garamond"/>
        </w:rPr>
        <w:t xml:space="preserve">En firme la presente decisión, remítase copia de este acto administrativo, junto con la constancia de ejecutoria, a la compañía aseguradora para lo de su competencia. De conformidad con el artículo 1080 del Código de Comercio, la compañía aseguradora deberá efectuar el pago </w:t>
      </w:r>
      <w:r w:rsidRPr="006323AF">
        <w:rPr>
          <w:rFonts w:ascii="Garamond" w:hAnsi="Garamond"/>
        </w:rPr>
        <w:t>de la suma amparada dentro del mes siguiente a la ejecutoria de este acto, vencido el cual correrán a su cargo los intereses moratorios correspondientes.</w:t>
      </w:r>
    </w:p>
    <w:p w14:paraId="43DE8C64" w14:textId="1C9FB19D" w:rsidR="00C46622" w:rsidRPr="002B3132" w:rsidRDefault="00C46622" w:rsidP="006323AF">
      <w:pPr>
        <w:pStyle w:val="Ttulo2"/>
        <w:jc w:val="both"/>
        <w:rPr>
          <w:rFonts w:ascii="Garamond" w:hAnsi="Garamond"/>
          <w:b w:val="0"/>
          <w:bCs w:val="0"/>
          <w:color w:val="FF0000"/>
          <w:sz w:val="24"/>
          <w:szCs w:val="24"/>
        </w:rPr>
      </w:pPr>
      <w:commentRangeStart w:id="3"/>
      <w:r w:rsidRPr="002B3132">
        <w:rPr>
          <w:rFonts w:ascii="Garamond" w:hAnsi="Garamond"/>
          <w:color w:val="FF0000"/>
          <w:sz w:val="24"/>
          <w:szCs w:val="24"/>
        </w:rPr>
        <w:t>ARTÍCULO QUINTO</w:t>
      </w:r>
      <w:r w:rsidR="0078327C" w:rsidRPr="002B3132">
        <w:rPr>
          <w:rFonts w:ascii="Garamond" w:hAnsi="Garamond"/>
          <w:color w:val="FF0000"/>
          <w:sz w:val="24"/>
          <w:szCs w:val="24"/>
        </w:rPr>
        <w:t>:</w:t>
      </w:r>
      <w:r w:rsidRPr="002B3132">
        <w:rPr>
          <w:rFonts w:ascii="Garamond" w:hAnsi="Garamond"/>
          <w:b w:val="0"/>
          <w:bCs w:val="0"/>
          <w:color w:val="FF0000"/>
          <w:sz w:val="24"/>
          <w:szCs w:val="24"/>
        </w:rPr>
        <w:t xml:space="preserve"> Pago y compensación.</w:t>
      </w:r>
    </w:p>
    <w:p w14:paraId="669901F0" w14:textId="13A3A721" w:rsidR="00CD422F" w:rsidRPr="002B3132" w:rsidRDefault="00CD422F" w:rsidP="006323AF">
      <w:pPr>
        <w:pStyle w:val="Ttulo2"/>
        <w:jc w:val="both"/>
        <w:rPr>
          <w:rFonts w:ascii="Garamond" w:hAnsi="Garamond"/>
          <w:b w:val="0"/>
          <w:bCs w:val="0"/>
          <w:color w:val="FF0000"/>
          <w:sz w:val="24"/>
          <w:szCs w:val="24"/>
        </w:rPr>
      </w:pPr>
      <w:r w:rsidRPr="002B3132">
        <w:rPr>
          <w:rFonts w:ascii="Garamond" w:hAnsi="Garamond"/>
          <w:color w:val="FF0000"/>
          <w:sz w:val="24"/>
          <w:szCs w:val="24"/>
        </w:rPr>
        <w:t>REQUERIR</w:t>
      </w:r>
      <w:r w:rsidR="0078327C" w:rsidRPr="002B3132">
        <w:rPr>
          <w:rFonts w:ascii="Garamond" w:hAnsi="Garamond"/>
          <w:b w:val="0"/>
          <w:bCs w:val="0"/>
          <w:color w:val="FF0000"/>
          <w:sz w:val="24"/>
          <w:szCs w:val="24"/>
        </w:rPr>
        <w:t>.</w:t>
      </w:r>
      <w:r w:rsidRPr="002B3132">
        <w:rPr>
          <w:rFonts w:ascii="Garamond" w:hAnsi="Garamond"/>
          <w:b w:val="0"/>
          <w:bCs w:val="0"/>
          <w:color w:val="FF0000"/>
          <w:sz w:val="24"/>
          <w:szCs w:val="24"/>
        </w:rPr>
        <w:t xml:space="preserve"> </w:t>
      </w:r>
      <w:r w:rsidR="0078327C" w:rsidRPr="002B3132">
        <w:rPr>
          <w:rFonts w:ascii="Garamond" w:hAnsi="Garamond"/>
          <w:b w:val="0"/>
          <w:bCs w:val="0"/>
          <w:color w:val="FF0000"/>
          <w:sz w:val="24"/>
          <w:szCs w:val="24"/>
        </w:rPr>
        <w:t xml:space="preserve">A </w:t>
      </w:r>
      <w:r w:rsidRPr="002B3132">
        <w:rPr>
          <w:rFonts w:ascii="Garamond" w:hAnsi="Garamond"/>
          <w:b w:val="0"/>
          <w:bCs w:val="0"/>
          <w:color w:val="FF0000"/>
          <w:sz w:val="24"/>
          <w:szCs w:val="24"/>
        </w:rPr>
        <w:t xml:space="preserve">la </w:t>
      </w:r>
      <w:r w:rsidRPr="002B3132">
        <w:rPr>
          <w:rFonts w:ascii="Garamond" w:hAnsi="Garamond"/>
          <w:color w:val="FF0000"/>
          <w:sz w:val="24"/>
          <w:szCs w:val="24"/>
        </w:rPr>
        <w:t>UNIÓN TEMPORAL BOLÍVAR</w:t>
      </w:r>
      <w:r w:rsidRPr="002B3132">
        <w:rPr>
          <w:rFonts w:ascii="Garamond" w:hAnsi="Garamond"/>
          <w:b w:val="0"/>
          <w:bCs w:val="0"/>
          <w:color w:val="FF0000"/>
          <w:sz w:val="24"/>
          <w:szCs w:val="24"/>
        </w:rPr>
        <w:t xml:space="preserve"> y a sus integrantes para que procedan al pago voluntario de las obligaciones económicas derivadas de la presente resolución.</w:t>
      </w:r>
    </w:p>
    <w:p w14:paraId="16EC54EB" w14:textId="77777777" w:rsidR="00CD422F" w:rsidRPr="002B3132" w:rsidRDefault="00CD422F" w:rsidP="006323AF">
      <w:pPr>
        <w:pStyle w:val="Ttulo2"/>
        <w:jc w:val="both"/>
        <w:rPr>
          <w:rFonts w:ascii="Garamond" w:hAnsi="Garamond"/>
          <w:b w:val="0"/>
          <w:bCs w:val="0"/>
          <w:color w:val="FF0000"/>
          <w:sz w:val="24"/>
          <w:szCs w:val="24"/>
        </w:rPr>
      </w:pPr>
      <w:r w:rsidRPr="002B3132">
        <w:rPr>
          <w:rFonts w:ascii="Garamond" w:hAnsi="Garamond"/>
          <w:b w:val="0"/>
          <w:bCs w:val="0"/>
          <w:color w:val="FF0000"/>
          <w:sz w:val="24"/>
          <w:szCs w:val="24"/>
        </w:rPr>
        <w:t>En caso de existir créditos o saldos a favor del contratista, el Alcalde Local de Ciudad Bolívar, en su calidad de ordenador del gasto del Fondo de Desarrollo Local, podrá efectuar las compensaciones legalmente procedentes sobre los saldos líquidos a favor del contratista, sin perjuicio de la obligación de este último de reintegrar de manera inmediata los dineros entregados por concepto de anticipo que no hayan sido debidamente amortizados con corte al balance final. Si dichos valores resultaren insuficientes, se adelantarán las actuaciones de cobro persuasivo, coactivo o las acciones judiciales a que haya lugar.</w:t>
      </w:r>
      <w:commentRangeEnd w:id="3"/>
      <w:r w:rsidR="002B3132">
        <w:rPr>
          <w:rStyle w:val="Refdecomentario"/>
          <w:rFonts w:ascii="Times New Roman" w:eastAsia="Times New Roman" w:hAnsi="Times New Roman" w:cs="Times New Roman"/>
          <w:b w:val="0"/>
          <w:bCs w:val="0"/>
          <w:kern w:val="0"/>
          <w:lang w:eastAsia="es-CO"/>
        </w:rPr>
        <w:commentReference w:id="3"/>
      </w:r>
    </w:p>
    <w:p w14:paraId="5F621A9B" w14:textId="1369443C" w:rsidR="00C46622" w:rsidRPr="002B3132" w:rsidRDefault="00C46622" w:rsidP="006323AF">
      <w:pPr>
        <w:pStyle w:val="Ttulo2"/>
        <w:jc w:val="both"/>
        <w:rPr>
          <w:rFonts w:ascii="Garamond" w:hAnsi="Garamond"/>
          <w:b w:val="0"/>
          <w:bCs w:val="0"/>
          <w:color w:val="FF0000"/>
          <w:sz w:val="24"/>
          <w:szCs w:val="24"/>
        </w:rPr>
      </w:pPr>
      <w:commentRangeStart w:id="4"/>
      <w:r w:rsidRPr="002B3132">
        <w:rPr>
          <w:rFonts w:ascii="Garamond" w:hAnsi="Garamond"/>
          <w:color w:val="FF0000"/>
          <w:sz w:val="24"/>
          <w:szCs w:val="24"/>
        </w:rPr>
        <w:t>ARTÍCULO SEXTO</w:t>
      </w:r>
      <w:r w:rsidR="006323AF" w:rsidRPr="002B3132">
        <w:rPr>
          <w:rFonts w:ascii="Garamond" w:hAnsi="Garamond"/>
          <w:color w:val="FF0000"/>
          <w:sz w:val="24"/>
          <w:szCs w:val="24"/>
        </w:rPr>
        <w:t>:</w:t>
      </w:r>
      <w:r w:rsidRPr="002B3132">
        <w:rPr>
          <w:rFonts w:ascii="Garamond" w:hAnsi="Garamond"/>
          <w:b w:val="0"/>
          <w:bCs w:val="0"/>
          <w:color w:val="FF0000"/>
          <w:sz w:val="24"/>
          <w:szCs w:val="24"/>
        </w:rPr>
        <w:t xml:space="preserve"> Balance final del contrato.</w:t>
      </w:r>
    </w:p>
    <w:p w14:paraId="28D17AFB" w14:textId="4B290498" w:rsidR="00CD422F" w:rsidRPr="002B3132" w:rsidRDefault="00C46622" w:rsidP="006323AF">
      <w:pPr>
        <w:pStyle w:val="NormalWeb"/>
        <w:jc w:val="both"/>
        <w:rPr>
          <w:rFonts w:ascii="Garamond" w:hAnsi="Garamond"/>
          <w:color w:val="FF0000"/>
        </w:rPr>
      </w:pPr>
      <w:r w:rsidRPr="002B3132">
        <w:rPr>
          <w:rStyle w:val="Textoennegrita"/>
          <w:rFonts w:ascii="Garamond" w:hAnsi="Garamond"/>
          <w:color w:val="FF0000"/>
        </w:rPr>
        <w:t>ORDENAR</w:t>
      </w:r>
      <w:r w:rsidR="006323AF" w:rsidRPr="002B3132">
        <w:rPr>
          <w:rFonts w:ascii="Garamond" w:hAnsi="Garamond"/>
          <w:color w:val="FF0000"/>
        </w:rPr>
        <w:t>.</w:t>
      </w:r>
      <w:r w:rsidRPr="002B3132">
        <w:rPr>
          <w:rFonts w:ascii="Garamond" w:hAnsi="Garamond"/>
          <w:color w:val="FF0000"/>
        </w:rPr>
        <w:t xml:space="preserve"> </w:t>
      </w:r>
      <w:r w:rsidR="006323AF" w:rsidRPr="002B3132">
        <w:rPr>
          <w:rFonts w:ascii="Garamond" w:hAnsi="Garamond"/>
          <w:color w:val="FF0000"/>
        </w:rPr>
        <w:t>A</w:t>
      </w:r>
      <w:r w:rsidR="00CD422F" w:rsidRPr="002B3132">
        <w:rPr>
          <w:rFonts w:ascii="Garamond" w:hAnsi="Garamond"/>
          <w:color w:val="FF0000"/>
        </w:rPr>
        <w:t xml:space="preserve"> la Supervisión del Contrato, con el apoyo de la Interventoría (Contrato No. CIN-827-2023) y de las dependencias competentes, elaborar dentro de los treinta (30) días calendario siguientes a la de la ejecutoria de esta providencia, el balance final técnico, administrativo, financiero y contable del Contrato de Obra Pública No. COP-859-2023. Este balance incluirá la determinación del porcentaje definitivo de ejecución física y financiera, la revisión de los recursos entregados por concepto de anticipo y su amortización, los pagos efectuados, los saldos pendientes, las compensaciones que resulten procedentes y las demás obligaciones económicas derivadas de la presente declaratoria.</w:t>
      </w:r>
      <w:commentRangeEnd w:id="4"/>
      <w:r w:rsidR="002B3132">
        <w:rPr>
          <w:rStyle w:val="Refdecomentario"/>
          <w:rFonts w:eastAsia="Times New Roman"/>
          <w:kern w:val="0"/>
          <w:lang w:eastAsia="es-CO"/>
        </w:rPr>
        <w:commentReference w:id="4"/>
      </w:r>
    </w:p>
    <w:p w14:paraId="0A162934" w14:textId="0767BCD0" w:rsidR="00C46622" w:rsidRPr="006323AF" w:rsidRDefault="00C46622" w:rsidP="006323AF">
      <w:pPr>
        <w:pStyle w:val="NormalWeb"/>
        <w:jc w:val="both"/>
        <w:rPr>
          <w:rFonts w:ascii="Garamond" w:hAnsi="Garamond"/>
        </w:rPr>
      </w:pPr>
    </w:p>
    <w:p w14:paraId="6F1B178D" w14:textId="77777777" w:rsidR="00951262" w:rsidRPr="0078327C" w:rsidRDefault="00951262" w:rsidP="0078327C">
      <w:pPr>
        <w:pStyle w:val="Ttulo2"/>
        <w:jc w:val="both"/>
        <w:rPr>
          <w:rFonts w:ascii="Garamond" w:hAnsi="Garamond"/>
          <w:b w:val="0"/>
          <w:bCs w:val="0"/>
          <w:sz w:val="24"/>
          <w:szCs w:val="24"/>
        </w:rPr>
      </w:pPr>
    </w:p>
    <w:p w14:paraId="0F3767B7" w14:textId="61B0E8CE" w:rsidR="00C46622" w:rsidRPr="0078327C" w:rsidRDefault="00C46622" w:rsidP="0078327C">
      <w:pPr>
        <w:pStyle w:val="Ttulo2"/>
        <w:jc w:val="both"/>
        <w:rPr>
          <w:rFonts w:ascii="Garamond" w:hAnsi="Garamond"/>
          <w:b w:val="0"/>
          <w:bCs w:val="0"/>
          <w:sz w:val="24"/>
          <w:szCs w:val="24"/>
        </w:rPr>
      </w:pPr>
      <w:r w:rsidRPr="006323AF">
        <w:rPr>
          <w:rFonts w:ascii="Garamond" w:hAnsi="Garamond"/>
          <w:sz w:val="24"/>
          <w:szCs w:val="24"/>
        </w:rPr>
        <w:t>ARTÍCULO SÉPTIMO</w:t>
      </w:r>
      <w:r w:rsidR="006323AF">
        <w:rPr>
          <w:rFonts w:ascii="Garamond" w:hAnsi="Garamond"/>
          <w:b w:val="0"/>
          <w:bCs w:val="0"/>
          <w:sz w:val="24"/>
          <w:szCs w:val="24"/>
        </w:rPr>
        <w:t xml:space="preserve">: </w:t>
      </w:r>
      <w:r w:rsidRPr="0078327C">
        <w:rPr>
          <w:rFonts w:ascii="Garamond" w:hAnsi="Garamond"/>
          <w:b w:val="0"/>
          <w:bCs w:val="0"/>
          <w:sz w:val="24"/>
          <w:szCs w:val="24"/>
        </w:rPr>
        <w:t>Actuaciones posteriores.</w:t>
      </w:r>
    </w:p>
    <w:p w14:paraId="21C3F557" w14:textId="1C824E24" w:rsidR="00C46622" w:rsidRPr="0078327C" w:rsidRDefault="00C46622" w:rsidP="0078327C">
      <w:pPr>
        <w:pStyle w:val="NormalWeb"/>
        <w:jc w:val="both"/>
        <w:rPr>
          <w:rFonts w:ascii="Garamond" w:hAnsi="Garamond"/>
        </w:rPr>
      </w:pPr>
      <w:r w:rsidRPr="0078327C">
        <w:rPr>
          <w:rStyle w:val="Textoennegrita"/>
          <w:rFonts w:ascii="Garamond" w:hAnsi="Garamond"/>
          <w:b w:val="0"/>
          <w:bCs w:val="0"/>
        </w:rPr>
        <w:t>ORDENAR</w:t>
      </w:r>
      <w:r w:rsidRPr="0078327C">
        <w:rPr>
          <w:rFonts w:ascii="Garamond" w:hAnsi="Garamond"/>
        </w:rPr>
        <w:t xml:space="preserve"> a las dependencias competentes adelantar las actuaciones administrativas, financieras, presupuestales, contractuales y judiciales necesarias para la ejecución integral de la presente resolución y la protección del patrimonio público, incluyendo, de ser procedente, las comunicaciones y remisiones a las autoridades competentes para el ejercicio de las actuaciones fiscales, disciplinarias, penales o de otra naturaleza que puedan derivarse de los hechos aquí establecidos.</w:t>
      </w:r>
    </w:p>
    <w:p w14:paraId="75A7C832" w14:textId="2EFE546B" w:rsidR="00C46622" w:rsidRPr="0078327C" w:rsidRDefault="00C46622" w:rsidP="0078327C">
      <w:pPr>
        <w:pStyle w:val="Ttulo2"/>
        <w:jc w:val="both"/>
        <w:rPr>
          <w:rFonts w:ascii="Garamond" w:hAnsi="Garamond"/>
          <w:b w:val="0"/>
          <w:bCs w:val="0"/>
          <w:sz w:val="24"/>
          <w:szCs w:val="24"/>
        </w:rPr>
      </w:pPr>
      <w:r w:rsidRPr="006323AF">
        <w:rPr>
          <w:rFonts w:ascii="Garamond" w:hAnsi="Garamond"/>
          <w:sz w:val="24"/>
          <w:szCs w:val="24"/>
        </w:rPr>
        <w:t>ARTÍCULO OCTAVO</w:t>
      </w:r>
      <w:r w:rsidR="006323AF">
        <w:rPr>
          <w:rFonts w:ascii="Garamond" w:hAnsi="Garamond"/>
          <w:b w:val="0"/>
          <w:bCs w:val="0"/>
          <w:sz w:val="24"/>
          <w:szCs w:val="24"/>
        </w:rPr>
        <w:t xml:space="preserve">: </w:t>
      </w:r>
      <w:r w:rsidRPr="0078327C">
        <w:rPr>
          <w:rFonts w:ascii="Garamond" w:hAnsi="Garamond"/>
          <w:b w:val="0"/>
          <w:bCs w:val="0"/>
          <w:sz w:val="24"/>
          <w:szCs w:val="24"/>
        </w:rPr>
        <w:t>Notificación.</w:t>
      </w:r>
    </w:p>
    <w:p w14:paraId="6FAB23AD" w14:textId="5644C4D9" w:rsidR="00C46622" w:rsidRPr="0078327C" w:rsidRDefault="00C46622" w:rsidP="0078327C">
      <w:pPr>
        <w:pStyle w:val="NormalWeb"/>
        <w:jc w:val="both"/>
        <w:rPr>
          <w:rFonts w:ascii="Garamond" w:hAnsi="Garamond"/>
        </w:rPr>
      </w:pPr>
      <w:r w:rsidRPr="0078327C">
        <w:rPr>
          <w:rStyle w:val="Textoennegrita"/>
          <w:rFonts w:ascii="Garamond" w:hAnsi="Garamond"/>
          <w:b w:val="0"/>
          <w:bCs w:val="0"/>
        </w:rPr>
        <w:t>NOTIFICAR</w:t>
      </w:r>
      <w:r w:rsidRPr="0078327C">
        <w:rPr>
          <w:rFonts w:ascii="Garamond" w:hAnsi="Garamond"/>
        </w:rPr>
        <w:t xml:space="preserve"> </w:t>
      </w:r>
      <w:r w:rsidR="00CD422F" w:rsidRPr="0078327C">
        <w:rPr>
          <w:rFonts w:ascii="Garamond" w:hAnsi="Garamond"/>
        </w:rPr>
        <w:t xml:space="preserve">la presente resolución al representante legal de la </w:t>
      </w:r>
      <w:r w:rsidR="00CD422F" w:rsidRPr="006323AF">
        <w:rPr>
          <w:rFonts w:ascii="Garamond" w:hAnsi="Garamond"/>
          <w:b/>
          <w:bCs/>
        </w:rPr>
        <w:t>UNIÓN TEMPORAL BOLÍVAR</w:t>
      </w:r>
      <w:r w:rsidR="00CD422F" w:rsidRPr="0078327C">
        <w:rPr>
          <w:rFonts w:ascii="Garamond" w:hAnsi="Garamond"/>
        </w:rPr>
        <w:t xml:space="preserve">, así como de manera individual a los representantes legales de sus empresas integrantes: </w:t>
      </w:r>
      <w:r w:rsidR="00CD422F" w:rsidRPr="006323AF">
        <w:rPr>
          <w:rFonts w:ascii="Garamond" w:hAnsi="Garamond"/>
          <w:b/>
          <w:bCs/>
        </w:rPr>
        <w:t>MASEB INGENIERÍA S.A.S., ELECTROLED DE COLOMBIA S.A.S</w:t>
      </w:r>
      <w:r w:rsidR="00CD422F" w:rsidRPr="0078327C">
        <w:rPr>
          <w:rFonts w:ascii="Garamond" w:hAnsi="Garamond"/>
        </w:rPr>
        <w:t xml:space="preserve">., y </w:t>
      </w:r>
      <w:r w:rsidR="00CD422F" w:rsidRPr="006323AF">
        <w:rPr>
          <w:rFonts w:ascii="Garamond" w:hAnsi="Garamond"/>
          <w:b/>
          <w:bCs/>
        </w:rPr>
        <w:t>SMARTECHS SOLUTIONS S.A.S</w:t>
      </w:r>
      <w:r w:rsidR="00CD422F" w:rsidRPr="0078327C">
        <w:rPr>
          <w:rFonts w:ascii="Garamond" w:hAnsi="Garamond"/>
        </w:rPr>
        <w:t xml:space="preserve">., a sus respectivos apoderados judiciales si los hubiere; a la </w:t>
      </w:r>
      <w:r w:rsidR="00CD422F" w:rsidRPr="006323AF">
        <w:rPr>
          <w:rFonts w:ascii="Garamond" w:hAnsi="Garamond"/>
          <w:b/>
          <w:bCs/>
        </w:rPr>
        <w:t>COMPAÑÍA MUNDIAL DE SEGUROS S.A.</w:t>
      </w:r>
      <w:r w:rsidR="00CD422F" w:rsidRPr="0078327C">
        <w:rPr>
          <w:rFonts w:ascii="Garamond" w:hAnsi="Garamond"/>
        </w:rPr>
        <w:t xml:space="preserve"> en su condición de garante; y al </w:t>
      </w:r>
      <w:r w:rsidR="00CD422F" w:rsidRPr="006323AF">
        <w:rPr>
          <w:rFonts w:ascii="Garamond" w:hAnsi="Garamond"/>
          <w:b/>
          <w:bCs/>
        </w:rPr>
        <w:t>CONSORCIO VIVIENDAS CB 2023</w:t>
      </w:r>
      <w:r w:rsidR="00CD422F" w:rsidRPr="0078327C">
        <w:rPr>
          <w:rFonts w:ascii="Garamond" w:hAnsi="Garamond"/>
        </w:rPr>
        <w:t xml:space="preserve"> en calidad de interventor, de conformidad con lo dispuesto en el artículo 86 de la Ley 1474 de 2011 y los artículos 67 y siguientes de la Ley 1437 de 2011</w:t>
      </w:r>
    </w:p>
    <w:p w14:paraId="13848542" w14:textId="12DDB1B1" w:rsidR="00C46622" w:rsidRPr="0078327C" w:rsidRDefault="00C46622" w:rsidP="0078327C">
      <w:pPr>
        <w:pStyle w:val="Ttulo2"/>
        <w:jc w:val="both"/>
        <w:rPr>
          <w:rFonts w:ascii="Garamond" w:hAnsi="Garamond"/>
          <w:b w:val="0"/>
          <w:bCs w:val="0"/>
          <w:sz w:val="24"/>
          <w:szCs w:val="24"/>
        </w:rPr>
      </w:pPr>
      <w:r w:rsidRPr="006323AF">
        <w:rPr>
          <w:rFonts w:ascii="Garamond" w:hAnsi="Garamond"/>
          <w:sz w:val="24"/>
          <w:szCs w:val="24"/>
        </w:rPr>
        <w:t>ARTÍCULO NOVENO</w:t>
      </w:r>
      <w:r w:rsidR="006323AF">
        <w:rPr>
          <w:rFonts w:ascii="Garamond" w:hAnsi="Garamond"/>
          <w:b w:val="0"/>
          <w:bCs w:val="0"/>
          <w:sz w:val="24"/>
          <w:szCs w:val="24"/>
        </w:rPr>
        <w:t>:</w:t>
      </w:r>
      <w:r w:rsidRPr="0078327C">
        <w:rPr>
          <w:rFonts w:ascii="Garamond" w:hAnsi="Garamond"/>
          <w:b w:val="0"/>
          <w:bCs w:val="0"/>
          <w:sz w:val="24"/>
          <w:szCs w:val="24"/>
        </w:rPr>
        <w:t xml:space="preserve"> Recursos.</w:t>
      </w:r>
    </w:p>
    <w:p w14:paraId="31BDF305" w14:textId="6AA21D4B" w:rsidR="00C46622" w:rsidRPr="0078327C" w:rsidRDefault="00C46622" w:rsidP="0078327C">
      <w:pPr>
        <w:pStyle w:val="NormalWeb"/>
        <w:jc w:val="both"/>
        <w:rPr>
          <w:rFonts w:ascii="Garamond" w:hAnsi="Garamond"/>
        </w:rPr>
      </w:pPr>
      <w:r w:rsidRPr="0078327C">
        <w:rPr>
          <w:rFonts w:ascii="Garamond" w:hAnsi="Garamond"/>
        </w:rPr>
        <w:t>Contra la presente resolución procede el recurso de reposición, el cual deberá interponerse, sustentarse y resolverse de conformidad con el procedimiento establecido en el artículo 86 de la Ley 1474 de 2011 y las disposiciones concordantes de la Ley 1437 de 2011.</w:t>
      </w:r>
    </w:p>
    <w:p w14:paraId="5F20D484" w14:textId="54E55A3E" w:rsidR="00C46622" w:rsidRPr="0078327C" w:rsidRDefault="00C46622" w:rsidP="0078327C">
      <w:pPr>
        <w:pStyle w:val="Ttulo2"/>
        <w:jc w:val="both"/>
        <w:rPr>
          <w:rFonts w:ascii="Garamond" w:hAnsi="Garamond"/>
          <w:b w:val="0"/>
          <w:bCs w:val="0"/>
          <w:sz w:val="24"/>
          <w:szCs w:val="24"/>
        </w:rPr>
      </w:pPr>
      <w:r w:rsidRPr="006323AF">
        <w:rPr>
          <w:rFonts w:ascii="Garamond" w:hAnsi="Garamond"/>
          <w:sz w:val="24"/>
          <w:szCs w:val="24"/>
        </w:rPr>
        <w:t>ARTÍCULO DÉCIMO</w:t>
      </w:r>
      <w:r w:rsidR="006323AF">
        <w:rPr>
          <w:rFonts w:ascii="Garamond" w:hAnsi="Garamond"/>
          <w:b w:val="0"/>
          <w:bCs w:val="0"/>
          <w:sz w:val="24"/>
          <w:szCs w:val="24"/>
        </w:rPr>
        <w:t>:</w:t>
      </w:r>
      <w:r w:rsidRPr="0078327C">
        <w:rPr>
          <w:rFonts w:ascii="Garamond" w:hAnsi="Garamond"/>
          <w:b w:val="0"/>
          <w:bCs w:val="0"/>
          <w:sz w:val="24"/>
          <w:szCs w:val="24"/>
        </w:rPr>
        <w:t xml:space="preserve"> Ejecutoria.</w:t>
      </w:r>
    </w:p>
    <w:p w14:paraId="0985B3A8" w14:textId="4533AC08" w:rsidR="00C46622" w:rsidRPr="0078327C" w:rsidRDefault="00C46622" w:rsidP="0078327C">
      <w:pPr>
        <w:pStyle w:val="NormalWeb"/>
        <w:jc w:val="both"/>
        <w:rPr>
          <w:rFonts w:ascii="Garamond" w:hAnsi="Garamond"/>
        </w:rPr>
      </w:pPr>
      <w:r w:rsidRPr="0078327C">
        <w:rPr>
          <w:rFonts w:ascii="Garamond" w:hAnsi="Garamond"/>
        </w:rPr>
        <w:t xml:space="preserve">Ejecutoriada la presente resolución, </w:t>
      </w:r>
      <w:r w:rsidRPr="006323AF">
        <w:rPr>
          <w:rStyle w:val="Textoennegrita"/>
          <w:rFonts w:ascii="Garamond" w:hAnsi="Garamond"/>
        </w:rPr>
        <w:t>CÚMPLASE</w:t>
      </w:r>
      <w:r w:rsidRPr="0078327C">
        <w:rPr>
          <w:rFonts w:ascii="Garamond" w:hAnsi="Garamond"/>
        </w:rPr>
        <w:t xml:space="preserve"> lo aquí dispuesto, incorpórese al expediente contractual y adelántense todas las actuaciones necesarias para la efectividad de las decisiones adoptadas mediante el presente acto </w:t>
      </w:r>
      <w:commentRangeStart w:id="5"/>
      <w:r w:rsidRPr="0078327C">
        <w:rPr>
          <w:rFonts w:ascii="Garamond" w:hAnsi="Garamond"/>
        </w:rPr>
        <w:t>administrativo</w:t>
      </w:r>
      <w:commentRangeEnd w:id="5"/>
      <w:r w:rsidR="009A4B0F">
        <w:rPr>
          <w:rStyle w:val="Refdecomentario"/>
          <w:rFonts w:eastAsia="Times New Roman"/>
          <w:kern w:val="0"/>
          <w:lang w:eastAsia="es-CO"/>
        </w:rPr>
        <w:commentReference w:id="5"/>
      </w:r>
      <w:r w:rsidRPr="0078327C">
        <w:rPr>
          <w:rFonts w:ascii="Garamond" w:hAnsi="Garamond"/>
        </w:rPr>
        <w:t>.</w:t>
      </w:r>
    </w:p>
    <w:p w14:paraId="6A5B9302" w14:textId="77777777" w:rsidR="00877F28" w:rsidRPr="0078327C" w:rsidRDefault="00877F28" w:rsidP="0078327C">
      <w:pPr>
        <w:pStyle w:val="NormalWeb"/>
        <w:jc w:val="both"/>
        <w:rPr>
          <w:rFonts w:ascii="Garamond" w:hAnsi="Garamond"/>
        </w:rPr>
      </w:pPr>
    </w:p>
    <w:p w14:paraId="6A986211" w14:textId="77777777" w:rsidR="00951262" w:rsidRDefault="00951262" w:rsidP="00877F28">
      <w:pPr>
        <w:jc w:val="center"/>
        <w:rPr>
          <w:rFonts w:ascii="Garamond" w:hAnsi="Garamond" w:cs="Arial"/>
          <w:b/>
          <w:sz w:val="22"/>
          <w:szCs w:val="22"/>
        </w:rPr>
      </w:pPr>
    </w:p>
    <w:p w14:paraId="41213F56" w14:textId="7D636EA3" w:rsidR="00877F28" w:rsidRPr="00877F28" w:rsidRDefault="00877F28" w:rsidP="00877F28">
      <w:pPr>
        <w:jc w:val="center"/>
        <w:rPr>
          <w:rFonts w:ascii="Garamond" w:hAnsi="Garamond" w:cs="Arial"/>
          <w:b/>
          <w:sz w:val="22"/>
          <w:szCs w:val="22"/>
        </w:rPr>
      </w:pPr>
      <w:r w:rsidRPr="00877F28">
        <w:rPr>
          <w:rFonts w:ascii="Garamond" w:hAnsi="Garamond" w:cs="Arial"/>
          <w:b/>
          <w:sz w:val="22"/>
          <w:szCs w:val="22"/>
        </w:rPr>
        <w:t>NOTIFÍQUESE, COMUNÍQUESE, PUBLÍQUESE Y CÚMPLASE</w:t>
      </w:r>
    </w:p>
    <w:p w14:paraId="3387AD0B" w14:textId="77777777" w:rsidR="00877F28" w:rsidRPr="00877F28" w:rsidRDefault="00877F28" w:rsidP="00877F28">
      <w:pPr>
        <w:jc w:val="both"/>
        <w:rPr>
          <w:rFonts w:ascii="Garamond" w:hAnsi="Garamond" w:cs="Arial"/>
          <w:b/>
          <w:sz w:val="22"/>
          <w:szCs w:val="22"/>
        </w:rPr>
      </w:pPr>
    </w:p>
    <w:p w14:paraId="770660ED" w14:textId="77777777" w:rsidR="00877F28" w:rsidRPr="00877F28" w:rsidRDefault="00877F28" w:rsidP="00877F28">
      <w:pPr>
        <w:jc w:val="both"/>
        <w:rPr>
          <w:rFonts w:ascii="Garamond" w:hAnsi="Garamond" w:cs="Arial"/>
          <w:b/>
          <w:sz w:val="22"/>
          <w:szCs w:val="22"/>
        </w:rPr>
      </w:pPr>
      <w:r w:rsidRPr="00877F28">
        <w:rPr>
          <w:rFonts w:ascii="Garamond" w:hAnsi="Garamond" w:cs="Arial"/>
          <w:b/>
          <w:sz w:val="22"/>
          <w:szCs w:val="22"/>
        </w:rPr>
        <w:t xml:space="preserve">Dada en Bogotá, D.C., a los </w:t>
      </w:r>
    </w:p>
    <w:p w14:paraId="2AF62CCB" w14:textId="77777777" w:rsidR="00877F28" w:rsidRPr="00877F28" w:rsidRDefault="00877F28" w:rsidP="00C46622">
      <w:pPr>
        <w:pStyle w:val="NormalWeb"/>
        <w:jc w:val="both"/>
        <w:rPr>
          <w:rFonts w:ascii="Garamond" w:hAnsi="Garamond"/>
        </w:rPr>
      </w:pPr>
    </w:p>
    <w:p w14:paraId="458EB451" w14:textId="6050D893" w:rsidR="00C46622" w:rsidRPr="003E6A25" w:rsidRDefault="003E6A25" w:rsidP="00C46622">
      <w:pPr>
        <w:pStyle w:val="NormalWeb"/>
        <w:jc w:val="both"/>
        <w:rPr>
          <w:rFonts w:ascii="Garamond" w:hAnsi="Garamond"/>
        </w:rPr>
      </w:pPr>
      <w:r w:rsidRPr="003E6A25">
        <w:rPr>
          <w:rFonts w:ascii="Garamond" w:hAnsi="Garamond"/>
          <w:noProof/>
        </w:rPr>
        <mc:AlternateContent>
          <mc:Choice Requires="wps">
            <w:drawing>
              <wp:anchor distT="0" distB="0" distL="114300" distR="114300" simplePos="0" relativeHeight="251659264" behindDoc="0" locked="0" layoutInCell="1" allowOverlap="1" wp14:anchorId="5D3FB1DA" wp14:editId="76389542">
                <wp:simplePos x="0" y="0"/>
                <wp:positionH relativeFrom="column">
                  <wp:posOffset>1129665</wp:posOffset>
                </wp:positionH>
                <wp:positionV relativeFrom="paragraph">
                  <wp:posOffset>290195</wp:posOffset>
                </wp:positionV>
                <wp:extent cx="3200400" cy="28575"/>
                <wp:effectExtent l="0" t="0" r="19050" b="28575"/>
                <wp:wrapNone/>
                <wp:docPr id="6" name="Conector recto 6"/>
                <wp:cNvGraphicFramePr/>
                <a:graphic xmlns:a="http://schemas.openxmlformats.org/drawingml/2006/main">
                  <a:graphicData uri="http://schemas.microsoft.com/office/word/2010/wordprocessingShape">
                    <wps:wsp>
                      <wps:cNvCnPr/>
                      <wps:spPr>
                        <a:xfrm>
                          <a:off x="0" y="0"/>
                          <a:ext cx="3200400"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oel="http://schemas.microsoft.com/office/2019/extlst">
            <w:pict>
              <v:line w14:anchorId="3A71C49C" id="Conector recto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8.95pt,22.85pt" to="340.95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" strokecolor="black [3200]" strokeweight=".5pt">
                <v:stroke joinstyle="miter"/>
              </v:line>
            </w:pict>
          </mc:Fallback>
        </mc:AlternateContent>
      </w:r>
    </w:p>
    <w:p w14:paraId="40BCCCED" w14:textId="77777777" w:rsidR="003E6A25" w:rsidRPr="003E6A25" w:rsidRDefault="003E6A25" w:rsidP="003E6A25">
      <w:pPr>
        <w:pStyle w:val="paragraph"/>
        <w:spacing w:before="0" w:beforeAutospacing="0" w:after="0" w:afterAutospacing="0"/>
        <w:jc w:val="center"/>
        <w:textAlignment w:val="baseline"/>
        <w:rPr>
          <w:rFonts w:ascii="Garamond" w:hAnsi="Garamond" w:cs="Segoe UI"/>
        </w:rPr>
      </w:pPr>
      <w:r w:rsidRPr="003E6A25">
        <w:rPr>
          <w:rStyle w:val="normaltextrun"/>
          <w:rFonts w:ascii="Garamond" w:hAnsi="Garamond" w:cs="Arial"/>
          <w:b/>
          <w:bCs/>
        </w:rPr>
        <w:t>DIEGO ARLEY ARENAS MANRIQUE</w:t>
      </w:r>
      <w:r w:rsidRPr="003E6A25">
        <w:rPr>
          <w:rStyle w:val="eop"/>
          <w:rFonts w:ascii="Garamond" w:hAnsi="Garamond" w:cs="Arial"/>
          <w:bdr w:val="none" w:sz="0" w:space="0" w:color="auto" w:frame="1"/>
          <w:shd w:val="clear" w:color="auto" w:fill="C6C6C6"/>
        </w:rPr>
        <w:t> </w:t>
      </w:r>
    </w:p>
    <w:p w14:paraId="260E7452" w14:textId="77777777" w:rsidR="003E6A25" w:rsidRPr="003E6A25" w:rsidRDefault="003E6A25" w:rsidP="003E6A25">
      <w:pPr>
        <w:pStyle w:val="paragraph"/>
        <w:spacing w:before="0" w:beforeAutospacing="0" w:after="0" w:afterAutospacing="0"/>
        <w:jc w:val="center"/>
        <w:textAlignment w:val="baseline"/>
        <w:rPr>
          <w:rFonts w:ascii="Garamond" w:hAnsi="Garamond" w:cs="Segoe UI"/>
        </w:rPr>
      </w:pPr>
      <w:r w:rsidRPr="003E6A25">
        <w:rPr>
          <w:rStyle w:val="normaltextrun"/>
          <w:rFonts w:ascii="Garamond" w:hAnsi="Garamond" w:cs="Arial"/>
          <w:b/>
          <w:bCs/>
        </w:rPr>
        <w:t>ALCALDE LOCAL DE CIUDAD BOLÍVAR</w:t>
      </w:r>
    </w:p>
    <w:p w14:paraId="159D6FB5" w14:textId="77777777" w:rsidR="00C46622" w:rsidRPr="003E6A25" w:rsidRDefault="00C46622" w:rsidP="00C46622">
      <w:pPr>
        <w:jc w:val="both"/>
        <w:rPr>
          <w:rFonts w:ascii="Garamond" w:hAnsi="Garamond" w:cs="Arial"/>
          <w:b/>
        </w:rPr>
      </w:pPr>
    </w:p>
    <w:p w14:paraId="53D32029" w14:textId="6AE735C1" w:rsidR="00C46622" w:rsidRPr="003E6A25" w:rsidRDefault="00C46622" w:rsidP="00C46622">
      <w:pPr>
        <w:jc w:val="both"/>
        <w:rPr>
          <w:rFonts w:ascii="Garamond" w:eastAsia="Garamond" w:hAnsi="Garamond" w:cs="Arial"/>
        </w:rPr>
      </w:pPr>
    </w:p>
    <w:p w14:paraId="43061C6A" w14:textId="5C7CD65D" w:rsidR="003E6A25" w:rsidRPr="003E6A25" w:rsidRDefault="003E6A25" w:rsidP="00C46622">
      <w:pPr>
        <w:jc w:val="both"/>
        <w:rPr>
          <w:rFonts w:ascii="Garamond" w:eastAsia="Garamond" w:hAnsi="Garamond" w:cs="Arial"/>
        </w:rPr>
      </w:pPr>
    </w:p>
    <w:p w14:paraId="3C388F0B" w14:textId="18506D6B" w:rsidR="003E6A25" w:rsidRPr="003E6A25" w:rsidRDefault="003E6A25" w:rsidP="006721EB">
      <w:pPr>
        <w:jc w:val="both"/>
        <w:rPr>
          <w:rFonts w:ascii="Garamond" w:eastAsia="Garamond" w:hAnsi="Garamond" w:cs="Arial"/>
          <w:sz w:val="16"/>
          <w:szCs w:val="16"/>
        </w:rPr>
      </w:pPr>
    </w:p>
    <w:p w14:paraId="6585A194" w14:textId="60826887" w:rsidR="00C46622" w:rsidRDefault="000D3FFA" w:rsidP="006721EB">
      <w:pPr>
        <w:jc w:val="both"/>
        <w:rPr>
          <w:rFonts w:ascii="Kunstler Script" w:eastAsia="Garamond" w:hAnsi="Kunstler Script" w:cs="Arial"/>
          <w:b/>
          <w:bCs/>
          <w:sz w:val="16"/>
          <w:szCs w:val="16"/>
        </w:rPr>
      </w:pPr>
      <w:bookmarkStart w:id="6" w:name="_Hlk230099452"/>
      <w:r w:rsidRPr="004A6EE0">
        <w:rPr>
          <w:rFonts w:ascii="Garamond" w:hAnsi="Garamond"/>
          <w:noProof/>
          <w:sz w:val="14"/>
          <w:szCs w:val="14"/>
        </w:rPr>
        <w:drawing>
          <wp:anchor distT="0" distB="0" distL="114300" distR="114300" simplePos="0" relativeHeight="251660288" behindDoc="1" locked="0" layoutInCell="1" allowOverlap="1" wp14:anchorId="03D0AEFD" wp14:editId="095A76EA">
            <wp:simplePos x="0" y="0"/>
            <wp:positionH relativeFrom="column">
              <wp:posOffset>3522980</wp:posOffset>
            </wp:positionH>
            <wp:positionV relativeFrom="paragraph">
              <wp:posOffset>9525</wp:posOffset>
            </wp:positionV>
            <wp:extent cx="205105" cy="221930"/>
            <wp:effectExtent l="0" t="0" r="4445" b="698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105" cy="221930"/>
                    </a:xfrm>
                    <a:prstGeom prst="rect">
                      <a:avLst/>
                    </a:prstGeom>
                    <a:noFill/>
                  </pic:spPr>
                </pic:pic>
              </a:graphicData>
            </a:graphic>
            <wp14:sizeRelH relativeFrom="page">
              <wp14:pctWidth>0</wp14:pctWidth>
            </wp14:sizeRelH>
            <wp14:sizeRelV relativeFrom="page">
              <wp14:pctHeight>0</wp14:pctHeight>
            </wp14:sizeRelV>
          </wp:anchor>
        </w:drawing>
      </w:r>
      <w:bookmarkEnd w:id="6"/>
      <w:r w:rsidR="00C46622" w:rsidRPr="003E6A25">
        <w:rPr>
          <w:rFonts w:ascii="Garamond" w:eastAsia="Garamond" w:hAnsi="Garamond" w:cs="Arial"/>
          <w:sz w:val="16"/>
          <w:szCs w:val="16"/>
        </w:rPr>
        <w:t xml:space="preserve">Elaboró: Jeimmy Johanna </w:t>
      </w:r>
      <w:r w:rsidR="006721EB" w:rsidRPr="003E6A25">
        <w:rPr>
          <w:rFonts w:ascii="Garamond" w:eastAsia="Garamond" w:hAnsi="Garamond" w:cs="Arial"/>
          <w:sz w:val="16"/>
          <w:szCs w:val="16"/>
        </w:rPr>
        <w:t>Ríos</w:t>
      </w:r>
      <w:r w:rsidR="00C46622" w:rsidRPr="003E6A25">
        <w:rPr>
          <w:rFonts w:ascii="Garamond" w:eastAsia="Garamond" w:hAnsi="Garamond" w:cs="Arial"/>
          <w:sz w:val="16"/>
          <w:szCs w:val="16"/>
        </w:rPr>
        <w:t>-Contratista</w:t>
      </w:r>
      <w:r>
        <w:rPr>
          <w:rFonts w:ascii="Garamond" w:eastAsia="Garamond" w:hAnsi="Garamond" w:cs="Arial"/>
          <w:sz w:val="16"/>
          <w:szCs w:val="16"/>
        </w:rPr>
        <w:t xml:space="preserve"> Liquidaciones</w:t>
      </w:r>
      <w:r w:rsidR="00C46622" w:rsidRPr="003E6A25">
        <w:rPr>
          <w:rFonts w:ascii="Garamond" w:eastAsia="Garamond" w:hAnsi="Garamond" w:cs="Arial"/>
          <w:sz w:val="16"/>
          <w:szCs w:val="16"/>
        </w:rPr>
        <w:t xml:space="preserve"> FDLCB-CPS- 606-2026</w:t>
      </w:r>
      <w:r w:rsidR="002941C4">
        <w:rPr>
          <w:rFonts w:ascii="Garamond" w:eastAsia="Garamond" w:hAnsi="Garamond" w:cs="Arial"/>
          <w:sz w:val="16"/>
          <w:szCs w:val="16"/>
        </w:rPr>
        <w:t xml:space="preserve"> </w:t>
      </w:r>
      <w:r w:rsidR="002941C4" w:rsidRPr="002941C4">
        <w:rPr>
          <w:rFonts w:ascii="Kunstler Script" w:eastAsia="Garamond" w:hAnsi="Kunstler Script" w:cs="Arial"/>
          <w:b/>
          <w:bCs/>
          <w:sz w:val="16"/>
          <w:szCs w:val="16"/>
        </w:rPr>
        <w:t>JR</w:t>
      </w:r>
      <w:bookmarkStart w:id="7" w:name="_heading=h.v78gk1prxznt" w:colFirst="0" w:colLast="0"/>
      <w:bookmarkEnd w:id="7"/>
    </w:p>
    <w:p w14:paraId="34AD9F9A" w14:textId="43380FC7" w:rsidR="006721EB" w:rsidRPr="004A6EE0" w:rsidRDefault="006721EB" w:rsidP="006721EB">
      <w:pPr>
        <w:pStyle w:val="Sinespaciado"/>
        <w:ind w:left="-142" w:firstLine="142"/>
        <w:rPr>
          <w:rFonts w:ascii="Garamond" w:hAnsi="Garamond"/>
          <w:sz w:val="14"/>
          <w:szCs w:val="14"/>
        </w:rPr>
      </w:pPr>
      <w:r w:rsidRPr="006721EB">
        <w:rPr>
          <w:rFonts w:ascii="Garamond" w:eastAsia="Garamond" w:hAnsi="Garamond" w:cs="Arial"/>
          <w:kern w:val="0"/>
          <w:sz w:val="16"/>
          <w:szCs w:val="16"/>
          <w:lang w:eastAsia="es-CO" w:bidi="ar-SA"/>
        </w:rPr>
        <w:t>Revisó: Edith Johana Roa Gutiérrez - Contratista contratación-</w:t>
      </w:r>
      <w:r w:rsidR="000D3FFA" w:rsidRPr="000D3FFA">
        <w:rPr>
          <w:rFonts w:ascii="Garamond" w:eastAsia="Garamond" w:hAnsi="Garamond" w:cs="Arial"/>
          <w:sz w:val="16"/>
          <w:szCs w:val="16"/>
        </w:rPr>
        <w:t xml:space="preserve"> </w:t>
      </w:r>
      <w:r w:rsidR="000D3FFA" w:rsidRPr="003E6A25">
        <w:rPr>
          <w:rFonts w:ascii="Garamond" w:eastAsia="Garamond" w:hAnsi="Garamond" w:cs="Arial"/>
          <w:sz w:val="16"/>
          <w:szCs w:val="16"/>
        </w:rPr>
        <w:t>FDLCB-CPS</w:t>
      </w:r>
      <w:r w:rsidR="000D3FFA">
        <w:rPr>
          <w:rFonts w:ascii="Garamond" w:eastAsia="Garamond" w:hAnsi="Garamond" w:cs="Arial"/>
          <w:sz w:val="16"/>
          <w:szCs w:val="16"/>
        </w:rPr>
        <w:t xml:space="preserve"> </w:t>
      </w:r>
      <w:r w:rsidRPr="006721EB">
        <w:rPr>
          <w:rFonts w:ascii="Garamond" w:eastAsia="Garamond" w:hAnsi="Garamond" w:cs="Arial"/>
          <w:kern w:val="0"/>
          <w:sz w:val="16"/>
          <w:szCs w:val="16"/>
          <w:lang w:eastAsia="es-CO" w:bidi="ar-SA"/>
        </w:rPr>
        <w:t>-297-2026</w:t>
      </w:r>
      <w:r w:rsidRPr="004A6EE0">
        <w:rPr>
          <w:rFonts w:ascii="Garamond" w:hAnsi="Garamond"/>
          <w:sz w:val="14"/>
          <w:szCs w:val="14"/>
        </w:rPr>
        <w:t xml:space="preserve"> </w:t>
      </w:r>
    </w:p>
    <w:p w14:paraId="52949F0E" w14:textId="77777777" w:rsidR="00C46622" w:rsidRPr="003E6A25" w:rsidRDefault="00C46622" w:rsidP="006721EB">
      <w:pPr>
        <w:jc w:val="both"/>
        <w:rPr>
          <w:rFonts w:ascii="Garamond" w:eastAsia="Garamond" w:hAnsi="Garamond" w:cs="Arial"/>
          <w:sz w:val="16"/>
          <w:szCs w:val="16"/>
        </w:rPr>
      </w:pPr>
      <w:r w:rsidRPr="003E6A25">
        <w:rPr>
          <w:rFonts w:ascii="Garamond" w:eastAsia="Garamond" w:hAnsi="Garamond" w:cs="Arial"/>
          <w:sz w:val="16"/>
          <w:szCs w:val="16"/>
        </w:rPr>
        <w:t>Revisó: Sergio Eulises Páez Villalba – Contratista Despacho FDLCB CPS- 001-2026</w:t>
      </w:r>
    </w:p>
    <w:p w14:paraId="2AA6B254" w14:textId="34AF1096" w:rsidR="00C46622" w:rsidRPr="003E6A25" w:rsidRDefault="00C46622" w:rsidP="006721EB">
      <w:pPr>
        <w:jc w:val="both"/>
        <w:rPr>
          <w:rFonts w:ascii="Garamond" w:eastAsia="Garamond" w:hAnsi="Garamond" w:cs="Arial"/>
          <w:sz w:val="16"/>
          <w:szCs w:val="16"/>
        </w:rPr>
      </w:pPr>
      <w:bookmarkStart w:id="8" w:name="_heading=h.32hioqz" w:colFirst="0" w:colLast="0"/>
      <w:bookmarkEnd w:id="8"/>
      <w:r w:rsidRPr="003E6A25">
        <w:rPr>
          <w:rFonts w:ascii="Garamond" w:eastAsia="Garamond" w:hAnsi="Garamond" w:cs="Arial"/>
          <w:sz w:val="16"/>
          <w:szCs w:val="16"/>
        </w:rPr>
        <w:t>Reviso: Daniel Alejandro Marín Valencia – Contratista Despacho FDLCB CPS-</w:t>
      </w:r>
      <w:r w:rsidR="000D3FFA">
        <w:rPr>
          <w:rFonts w:ascii="Garamond" w:eastAsia="Garamond" w:hAnsi="Garamond" w:cs="Arial"/>
          <w:sz w:val="16"/>
          <w:szCs w:val="16"/>
        </w:rPr>
        <w:t xml:space="preserve"> 005-2026</w:t>
      </w:r>
    </w:p>
    <w:p w14:paraId="69DF5F72" w14:textId="73C2FE22" w:rsidR="00C46622" w:rsidRPr="003E6A25" w:rsidRDefault="003E6A25" w:rsidP="006721EB">
      <w:pPr>
        <w:pStyle w:val="NormalWeb"/>
        <w:jc w:val="both"/>
        <w:rPr>
          <w:rFonts w:ascii="Garamond" w:hAnsi="Garamond"/>
        </w:rPr>
      </w:pPr>
      <w:r w:rsidRPr="003E6A25">
        <w:rPr>
          <w:rFonts w:ascii="Garamond" w:hAnsi="Garamond"/>
        </w:rPr>
        <w:t xml:space="preserve"> </w:t>
      </w:r>
    </w:p>
    <w:p w14:paraId="20F1D4D2" w14:textId="749E3475" w:rsidR="00601354" w:rsidRPr="003E6A25" w:rsidRDefault="000D3FFA" w:rsidP="00C46622">
      <w:pPr>
        <w:jc w:val="both"/>
        <w:rPr>
          <w:rFonts w:ascii="Garamond" w:hAnsi="Garamond" w:cs="Arial"/>
        </w:rPr>
      </w:pPr>
      <w:r>
        <w:rPr>
          <w:rFonts w:ascii="Garamond" w:hAnsi="Garamond" w:cs="Arial"/>
        </w:rPr>
        <w:t xml:space="preserve"> </w:t>
      </w:r>
    </w:p>
    <w:sectPr w:rsidR="00601354" w:rsidRPr="003E6A25" w:rsidSect="00047BA4">
      <w:headerReference w:type="default" r:id="rId15"/>
      <w:footerReference w:type="default" r:id="rId16"/>
      <w:headerReference w:type="first" r:id="rId17"/>
      <w:footerReference w:type="first" r:id="rId18"/>
      <w:pgSz w:w="12240" w:h="15840"/>
      <w:pgMar w:top="2122" w:right="1701" w:bottom="2694" w:left="1701" w:header="1134" w:footer="1540" w:gutter="0"/>
      <w:pgBorders>
        <w:top w:val="single" w:sz="4" w:space="11" w:color="000000"/>
        <w:left w:val="single" w:sz="4" w:space="31" w:color="000000"/>
        <w:bottom w:val="single" w:sz="4" w:space="12" w:color="000000"/>
        <w:right w:val="single" w:sz="4" w:space="31" w:color="000000"/>
      </w:pgBorders>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dith Johana Roa Gutierrez" w:date="2026-07-29T08:44:00Z" w:initials="EJRG">
    <w:p w14:paraId="5F5B70A1" w14:textId="23AB577E" w:rsidR="002A5723" w:rsidRDefault="002A5723">
      <w:pPr>
        <w:pStyle w:val="Textocomentario"/>
      </w:pPr>
      <w:r>
        <w:rPr>
          <w:rStyle w:val="Refdecomentario"/>
        </w:rPr>
        <w:annotationRef/>
      </w:r>
      <w:r>
        <w:t>Es necesario darle la fuerza describiendo los resultados de la visita técnica completamente</w:t>
      </w:r>
    </w:p>
  </w:comment>
  <w:comment w:id="2" w:author="Edith Johana Roa Gutierrez" w:date="2026-07-29T08:56:00Z" w:initials="EJRG">
    <w:p w14:paraId="7D930E1F" w14:textId="6788E69A" w:rsidR="002B3132" w:rsidRDefault="002B3132">
      <w:pPr>
        <w:pStyle w:val="Textocomentario"/>
      </w:pPr>
      <w:r>
        <w:rPr>
          <w:rStyle w:val="Refdecomentario"/>
        </w:rPr>
        <w:annotationRef/>
      </w:r>
      <w:r>
        <w:t>Debe describirse claramente a partir de los informes de interventoría y supervisión cómo se llega al establecimiento de la pena, comprende la justificación técnica y matemática</w:t>
      </w:r>
    </w:p>
  </w:comment>
  <w:comment w:id="3" w:author="Edith Johana Roa Gutierrez" w:date="2026-07-29T08:59:00Z" w:initials="EJRG">
    <w:p w14:paraId="2B7D4576" w14:textId="53FB30D2" w:rsidR="002B3132" w:rsidRDefault="002B3132">
      <w:pPr>
        <w:pStyle w:val="Textocomentario"/>
      </w:pPr>
      <w:r>
        <w:rPr>
          <w:rStyle w:val="Refdecomentario"/>
        </w:rPr>
        <w:annotationRef/>
      </w:r>
      <w:r>
        <w:t>El Dr. Daniel recomienda eliminar este artículo</w:t>
      </w:r>
    </w:p>
  </w:comment>
  <w:comment w:id="4" w:author="Edith Johana Roa Gutierrez" w:date="2026-07-29T08:53:00Z" w:initials="EJRG">
    <w:p w14:paraId="0D75C268" w14:textId="23523BD7" w:rsidR="002B3132" w:rsidRDefault="002B3132">
      <w:pPr>
        <w:pStyle w:val="Textocomentario"/>
      </w:pPr>
      <w:r>
        <w:rPr>
          <w:rStyle w:val="Refdecomentario"/>
        </w:rPr>
        <w:annotationRef/>
      </w:r>
      <w:r>
        <w:t>El Dr. Daniel recomendó eliminar</w:t>
      </w:r>
    </w:p>
  </w:comment>
  <w:comment w:id="5" w:author="Edith Johana Roa Gutierrez" w:date="2026-07-29T09:01:00Z" w:initials="EJRG">
    <w:p w14:paraId="65D09E0B" w14:textId="60E02602" w:rsidR="009A4B0F" w:rsidRDefault="009A4B0F">
      <w:pPr>
        <w:pStyle w:val="Textocomentario"/>
      </w:pPr>
      <w:r>
        <w:rPr>
          <w:rStyle w:val="Refdecomentario"/>
        </w:rPr>
        <w:annotationRef/>
      </w:r>
      <w:r>
        <w:t>Se debe insertar el artículo de notificación y traslado a los entes competentes</w:t>
      </w:r>
    </w:p>
    <w:p w14:paraId="2F819D9F" w14:textId="2A48E8B5" w:rsidR="009A4B0F" w:rsidRDefault="009A4B0F" w:rsidP="009A4B0F">
      <w:pPr>
        <w:rPr>
          <w:rFonts w:ascii="Arial" w:hAnsi="Arial" w:cs="Arial"/>
        </w:rPr>
      </w:pPr>
      <w:r>
        <w:rPr>
          <w:rStyle w:val="Textoennegrita"/>
          <w:rFonts w:ascii="Arial" w:hAnsi="Arial" w:cs="Arial"/>
        </w:rPr>
        <w:t>ARTÍCULO [Número].- COMUNICACIÓN Y REGISTRO.</w:t>
      </w:r>
      <w:r>
        <w:rPr>
          <w:rFonts w:ascii="Arial" w:hAnsi="Arial" w:cs="Arial"/>
        </w:rPr>
        <w:t xml:space="preserve"> Ordenar la comunicación de la presente resolución a la Cámara de Comercio </w:t>
      </w:r>
      <w:r>
        <w:rPr>
          <w:rFonts w:ascii="Arial" w:hAnsi="Arial" w:cs="Arial"/>
        </w:rPr>
        <w:t>de Bogotá D.C.</w:t>
      </w:r>
      <w:r>
        <w:rPr>
          <w:rFonts w:ascii="Arial" w:hAnsi="Arial" w:cs="Arial"/>
        </w:rPr>
        <w:t xml:space="preserve"> con el fin exclusivo de que se proceda a realizar la inscripción y registro del incumplimiento contractual en el Registro Único de Proponentes (RUP) de la firma sancionada, conforme a la normatividad legal vigente.</w:t>
      </w:r>
    </w:p>
    <w:p w14:paraId="1A8897BC" w14:textId="4A142053" w:rsidR="009A4B0F" w:rsidRDefault="009A4B0F" w:rsidP="009A4B0F">
      <w:pPr>
        <w:spacing w:before="480" w:after="480"/>
      </w:pPr>
    </w:p>
    <w:p w14:paraId="1C06A563" w14:textId="77777777" w:rsidR="009A4B0F" w:rsidRDefault="009A4B0F">
      <w:pPr>
        <w:pStyle w:val="Textocomentario"/>
      </w:pPr>
    </w:p>
    <w:p w14:paraId="1A719DC4" w14:textId="77777777" w:rsidR="009A4B0F" w:rsidRDefault="009A4B0F">
      <w:pPr>
        <w:pStyle w:val="Textocomentario"/>
      </w:pPr>
      <w:r>
        <w:t>Y el artículo de publicar en el Secop II</w:t>
      </w:r>
    </w:p>
    <w:p w14:paraId="014C8777" w14:textId="77777777" w:rsidR="009A4B0F" w:rsidRDefault="009A4B0F">
      <w:pPr>
        <w:pStyle w:val="Textocomentario"/>
      </w:pPr>
    </w:p>
    <w:p w14:paraId="4EB701BD" w14:textId="1D9A6A4A" w:rsidR="009A4B0F" w:rsidRDefault="009A4B0F">
      <w:pPr>
        <w:pStyle w:val="Textocomentario"/>
      </w:pPr>
      <w:r>
        <w:rPr>
          <w:rStyle w:val="Textoennegrita"/>
          <w:rFonts w:ascii="Arial" w:hAnsi="Arial" w:cs="Arial"/>
        </w:rPr>
        <w:t>ARTÍCULO [Número].- PUBLICIDAD.</w:t>
      </w:r>
      <w:r>
        <w:t xml:space="preserve"> Publicar el presente acto administrativo en el Sistema Electrónico para la Contratación Pública (</w:t>
      </w:r>
      <w:r>
        <w:rPr>
          <w:rStyle w:val="Textoennegrita"/>
          <w:rFonts w:ascii="Arial" w:hAnsi="Arial" w:cs="Arial"/>
        </w:rPr>
        <w:t>SECOP</w:t>
      </w:r>
      <w:r>
        <w:t>), de conformidad con lo establecido en la normativa legal vigente.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5B70A1" w15:done="0"/>
  <w15:commentEx w15:paraId="7D930E1F" w15:done="0"/>
  <w15:commentEx w15:paraId="2B7D4576" w15:done="0"/>
  <w15:commentEx w15:paraId="0D75C268" w15:done="0"/>
  <w15:commentEx w15:paraId="4EB701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43BE9" w16cex:dateUtc="2026-07-29T13:44:00Z"/>
  <w16cex:commentExtensible w16cex:durableId="2E143EAA" w16cex:dateUtc="2026-07-29T13:56:00Z"/>
  <w16cex:commentExtensible w16cex:durableId="2E143F73" w16cex:dateUtc="2026-07-29T13:59:00Z"/>
  <w16cex:commentExtensible w16cex:durableId="2E143E1F" w16cex:dateUtc="2026-07-29T13:53:00Z"/>
  <w16cex:commentExtensible w16cex:durableId="2E143FD0" w16cex:dateUtc="2026-07-29T14: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B70A1" w16cid:durableId="2E143BE9"/>
  <w16cid:commentId w16cid:paraId="7D930E1F" w16cid:durableId="2E143EAA"/>
  <w16cid:commentId w16cid:paraId="2B7D4576" w16cid:durableId="2E143F73"/>
  <w16cid:commentId w16cid:paraId="0D75C268" w16cid:durableId="2E143E1F"/>
  <w16cid:commentId w16cid:paraId="4EB701BD" w16cid:durableId="2E143F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F01CC" w14:textId="77777777" w:rsidR="00EE7BD1" w:rsidRDefault="00EE7BD1">
      <w:r>
        <w:separator/>
      </w:r>
    </w:p>
  </w:endnote>
  <w:endnote w:type="continuationSeparator" w:id="0">
    <w:p w14:paraId="6FC988CA" w14:textId="77777777" w:rsidR="00EE7BD1" w:rsidRDefault="00EE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Gothic-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00000000" w:usb1="500078FF" w:usb2="00000021" w:usb3="00000000" w:csb0="000001BF" w:csb1="00000000"/>
  </w:font>
  <w:font w:name="WenQuanYi Micro Hei">
    <w:charset w:val="00"/>
    <w:family w:val="modern"/>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418B" w14:textId="2937F0A3" w:rsidR="00FF6885" w:rsidRDefault="00F715B8">
    <w:pPr>
      <w:pStyle w:val="Piedepgina"/>
    </w:pPr>
    <w:r>
      <w:rPr>
        <w:noProof/>
        <w:lang w:eastAsia="es-CO" w:bidi="ar-SA"/>
      </w:rPr>
      <mc:AlternateContent>
        <mc:Choice Requires="wps">
          <w:drawing>
            <wp:anchor distT="0" distB="0" distL="114300" distR="114300" simplePos="0" relativeHeight="251683840" behindDoc="0" locked="0" layoutInCell="1" allowOverlap="1" wp14:anchorId="62176B83" wp14:editId="47115B46">
              <wp:simplePos x="0" y="0"/>
              <wp:positionH relativeFrom="column">
                <wp:posOffset>-230003</wp:posOffset>
              </wp:positionH>
              <wp:positionV relativeFrom="paragraph">
                <wp:posOffset>-510493</wp:posOffset>
              </wp:positionV>
              <wp:extent cx="1581150" cy="800100"/>
              <wp:effectExtent l="0" t="0" r="0" b="0"/>
              <wp:wrapNone/>
              <wp:docPr id="809738880"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2A4912B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Edificio Liévano</w:t>
                          </w:r>
                        </w:p>
                        <w:p w14:paraId="505F327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Calle 11 No. 8 -17</w:t>
                          </w:r>
                        </w:p>
                        <w:p w14:paraId="6F1F1BF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 xml:space="preserve">Código Postal: 111711 </w:t>
                          </w:r>
                        </w:p>
                        <w:p w14:paraId="17801FA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Tel. 3387000 - 3820660</w:t>
                          </w:r>
                        </w:p>
                        <w:p w14:paraId="294A4220"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Información Línea 195</w:t>
                          </w:r>
                        </w:p>
                        <w:p w14:paraId="20D788EA" w14:textId="77777777" w:rsidR="001049B4" w:rsidRPr="00565CEE" w:rsidRDefault="001049B4" w:rsidP="001049B4">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40D7933A" w14:textId="77777777" w:rsidR="00F715B8" w:rsidRPr="008A2B33" w:rsidRDefault="00F715B8" w:rsidP="00F715B8">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xmlns:oel="http://schemas.microsoft.com/office/2019/extlst">
          <w:pict>
            <v:rect w14:anchorId="62176B83" id="Rectángulo 9" o:spid="_x0000_s1026" style="position:absolute;margin-left:-18.1pt;margin-top:-40.2pt;width:124.5pt;height:63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" stroked="f">
              <v:textbox inset="2.5575mm,1.2875mm,2.5575mm,1.2875mm">
                <w:txbxContent>
                  <w:p w14:paraId="2A4912B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Edificio Liévano</w:t>
                    </w:r>
                  </w:p>
                  <w:p w14:paraId="505F327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Calle 11 No. 8 -17</w:t>
                    </w:r>
                  </w:p>
                  <w:p w14:paraId="6F1F1BF3"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 xml:space="preserve">Código Postal: 111711 </w:t>
                    </w:r>
                  </w:p>
                  <w:p w14:paraId="17801FA2"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Tel. 3387000 - 3820660</w:t>
                    </w:r>
                  </w:p>
                  <w:p w14:paraId="294A4220" w14:textId="77777777" w:rsidR="001049B4" w:rsidRPr="00565CEE" w:rsidRDefault="001049B4" w:rsidP="001049B4">
                    <w:pPr>
                      <w:textDirection w:val="btLr"/>
                      <w:rPr>
                        <w:sz w:val="12"/>
                        <w:szCs w:val="12"/>
                      </w:rPr>
                    </w:pPr>
                    <w:r w:rsidRPr="00565CEE">
                      <w:rPr>
                        <w:rFonts w:ascii="Arial" w:eastAsia="Arial" w:hAnsi="Arial" w:cs="Arial"/>
                        <w:color w:val="000000"/>
                        <w:sz w:val="12"/>
                        <w:szCs w:val="12"/>
                      </w:rPr>
                      <w:t>Información Línea 195</w:t>
                    </w:r>
                  </w:p>
                  <w:p w14:paraId="20D788EA" w14:textId="77777777" w:rsidR="001049B4" w:rsidRPr="00565CEE" w:rsidRDefault="001049B4" w:rsidP="001049B4">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40D7933A" w14:textId="77777777" w:rsidR="00F715B8" w:rsidRPr="008A2B33" w:rsidRDefault="00F715B8" w:rsidP="00F715B8">
                    <w:pPr>
                      <w:rPr>
                        <w:rFonts w:ascii="Garamond" w:hAnsi="Garamond" w:cs="Arial"/>
                        <w:color w:val="000000" w:themeColor="text1"/>
                        <w:sz w:val="16"/>
                        <w:szCs w:val="16"/>
                        <w:lang w:val="es-MX"/>
                      </w:rPr>
                    </w:pPr>
                  </w:p>
                </w:txbxContent>
              </v:textbox>
            </v:rect>
          </w:pict>
        </mc:Fallback>
      </mc:AlternateContent>
    </w:r>
    <w:r w:rsidR="00595F74">
      <w:rPr>
        <w:noProof/>
        <w:lang w:eastAsia="es-CO" w:bidi="ar-SA"/>
      </w:rPr>
      <mc:AlternateContent>
        <mc:Choice Requires="wps">
          <w:drawing>
            <wp:anchor distT="0" distB="0" distL="114300" distR="114300" simplePos="0" relativeHeight="251677696" behindDoc="0" locked="0" layoutInCell="1" allowOverlap="1" wp14:anchorId="6052FF1D" wp14:editId="56991B4B">
              <wp:simplePos x="0" y="0"/>
              <wp:positionH relativeFrom="column">
                <wp:posOffset>1504950</wp:posOffset>
              </wp:positionH>
              <wp:positionV relativeFrom="paragraph">
                <wp:posOffset>-476250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pic="http://schemas.openxmlformats.org/drawingml/2006/picture" xmlns:a14="http://schemas.microsoft.com/office/drawing/2010/main" xmlns:a="http://schemas.openxmlformats.org/drawingml/2006/main" xmlns:oel="http://schemas.microsoft.com/office/2019/extlst">
          <w:pict w14:anchorId="67B1B2B3">
            <v:shapetype id="_x0000_t32" coordsize="21600,21600" o:oned="t" filled="f" o:spt="32" path="m,l21600,21600e" w14:anchorId="6B82E7F6">
              <v:path fillok="f" arrowok="t" o:connecttype="none"/>
              <o:lock v:ext="edit" shapetype="t"/>
            </v:shapetype>
            <v:shape id="AutoShape 5" style="position:absolute;margin-left:118.5pt;margin-top:-37.5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"/>
          </w:pict>
        </mc:Fallback>
      </mc:AlternateContent>
    </w:r>
    <w:r w:rsidR="00FD25EC">
      <w:rPr>
        <w:rFonts w:eastAsia="MS Mincho"/>
        <w:noProof/>
        <w:szCs w:val="24"/>
        <w:lang w:eastAsia="es-CO" w:bidi="ar-SA"/>
      </w:rPr>
      <mc:AlternateContent>
        <mc:Choice Requires="wps">
          <w:drawing>
            <wp:anchor distT="0" distB="0" distL="114300" distR="114300" simplePos="0" relativeHeight="251662336" behindDoc="0" locked="0" layoutInCell="1" allowOverlap="1" wp14:anchorId="43DAF801" wp14:editId="2B0314F5">
              <wp:simplePos x="0" y="0"/>
              <wp:positionH relativeFrom="margin">
                <wp:posOffset>2101215</wp:posOffset>
              </wp:positionH>
              <wp:positionV relativeFrom="paragraph">
                <wp:posOffset>-513715</wp:posOffset>
              </wp:positionV>
              <wp:extent cx="1724025" cy="752475"/>
              <wp:effectExtent l="0" t="0" r="9525" b="9525"/>
              <wp:wrapThrough wrapText="bothSides">
                <wp:wrapPolygon edited="0">
                  <wp:start x="0" y="0"/>
                  <wp:lineTo x="0" y="21327"/>
                  <wp:lineTo x="21481" y="21327"/>
                  <wp:lineTo x="21481" y="0"/>
                  <wp:lineTo x="0" y="0"/>
                </wp:wrapPolygon>
              </wp:wrapThrough>
              <wp:docPr id="4" name="Rectángulo 11"/>
              <wp:cNvGraphicFramePr/>
              <a:graphic xmlns:a="http://schemas.openxmlformats.org/drawingml/2006/main">
                <a:graphicData uri="http://schemas.microsoft.com/office/word/2010/wordprocessingShape">
                  <wps:wsp>
                    <wps:cNvSpPr/>
                    <wps:spPr>
                      <a:xfrm>
                        <a:off x="0" y="0"/>
                        <a:ext cx="1724025" cy="752475"/>
                      </a:xfrm>
                      <a:prstGeom prst="rect">
                        <a:avLst/>
                      </a:prstGeom>
                      <a:solidFill>
                        <a:srgbClr val="FFFFFF"/>
                      </a:solidFill>
                      <a:ln cap="flat">
                        <a:noFill/>
                        <a:prstDash val="solid"/>
                      </a:ln>
                    </wps:spPr>
                    <wps:txbx>
                      <w:txbxContent>
                        <w:p w14:paraId="51C9C406" w14:textId="77777777" w:rsidR="00FF6885" w:rsidRPr="00F715B8" w:rsidRDefault="00FF6885">
                          <w:pPr>
                            <w:rPr>
                              <w:rFonts w:ascii="Garamond" w:hAnsi="Garamond" w:cs="Arial"/>
                              <w:sz w:val="16"/>
                              <w:szCs w:val="16"/>
                              <w:lang w:val="es-MX"/>
                            </w:rPr>
                          </w:pPr>
                        </w:p>
                        <w:p w14:paraId="636962F0" w14:textId="30EE9ABF" w:rsidR="00306F8E"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Código: GDI</w:t>
                          </w:r>
                          <w:r w:rsidR="008A2B33">
                            <w:rPr>
                              <w:rFonts w:ascii="Garamond" w:hAnsi="Garamond" w:cs="Arial"/>
                              <w:sz w:val="16"/>
                              <w:szCs w:val="16"/>
                              <w:lang w:val="es-MX"/>
                            </w:rPr>
                            <w:t>-</w:t>
                          </w:r>
                          <w:r w:rsidRPr="00F715B8">
                            <w:rPr>
                              <w:rFonts w:ascii="Garamond" w:hAnsi="Garamond" w:cs="Arial"/>
                              <w:sz w:val="16"/>
                              <w:szCs w:val="16"/>
                              <w:lang w:val="es-MX"/>
                            </w:rPr>
                            <w:t>GPD</w:t>
                          </w:r>
                          <w:r w:rsidR="008A2B33">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sidR="008A2B33">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D25EC"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sidR="008A2B33">
                            <w:rPr>
                              <w:rFonts w:ascii="Garamond" w:hAnsi="Garamond" w:cs="Arial"/>
                              <w:sz w:val="16"/>
                              <w:szCs w:val="16"/>
                              <w:lang w:val="es-MX"/>
                            </w:rPr>
                            <w:t>59797</w:t>
                          </w:r>
                        </w:p>
                        <w:p w14:paraId="532C0C24" w14:textId="77777777" w:rsidR="00FF6885" w:rsidRPr="00F715B8" w:rsidRDefault="00FF6885" w:rsidP="00047BA4">
                          <w:pPr>
                            <w:jc w:val="center"/>
                            <w:rPr>
                              <w:rFonts w:ascii="Garamond" w:hAnsi="Garamond" w:cs="Arial"/>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rect w14:anchorId="43DAF801" id="Rectángulo 11" o:spid="_x0000_s1027" style="position:absolute;margin-left:165.45pt;margin-top:-40.45pt;width:135.75pt;height:59.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" stroked="f">
              <v:textbox inset="2.5575mm,1.2875mm,2.5575mm,1.2875mm">
                <w:txbxContent>
                  <w:p w14:paraId="51C9C406" w14:textId="77777777" w:rsidR="00FF6885" w:rsidRPr="00F715B8" w:rsidRDefault="00FF6885">
                    <w:pPr>
                      <w:rPr>
                        <w:rFonts w:ascii="Garamond" w:hAnsi="Garamond" w:cs="Arial"/>
                        <w:sz w:val="16"/>
                        <w:szCs w:val="16"/>
                        <w:lang w:val="es-MX"/>
                      </w:rPr>
                    </w:pPr>
                  </w:p>
                  <w:p w14:paraId="636962F0" w14:textId="30EE9ABF" w:rsidR="00306F8E"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Código: GDI</w:t>
                    </w:r>
                    <w:r w:rsidR="008A2B33">
                      <w:rPr>
                        <w:rFonts w:ascii="Garamond" w:hAnsi="Garamond" w:cs="Arial"/>
                        <w:sz w:val="16"/>
                        <w:szCs w:val="16"/>
                        <w:lang w:val="es-MX"/>
                      </w:rPr>
                      <w:t>-</w:t>
                    </w:r>
                    <w:r w:rsidRPr="00F715B8">
                      <w:rPr>
                        <w:rFonts w:ascii="Garamond" w:hAnsi="Garamond" w:cs="Arial"/>
                        <w:sz w:val="16"/>
                        <w:szCs w:val="16"/>
                        <w:lang w:val="es-MX"/>
                      </w:rPr>
                      <w:t>GPD</w:t>
                    </w:r>
                    <w:r w:rsidR="008A2B33">
                      <w:rPr>
                        <w:rFonts w:ascii="Garamond" w:hAnsi="Garamond" w:cs="Arial"/>
                        <w:sz w:val="16"/>
                        <w:szCs w:val="16"/>
                        <w:lang w:val="es-MX"/>
                      </w:rPr>
                      <w:t>-</w:t>
                    </w:r>
                    <w:r w:rsidRPr="00F715B8">
                      <w:rPr>
                        <w:rFonts w:ascii="Garamond" w:hAnsi="Garamond" w:cs="Arial"/>
                        <w:sz w:val="16"/>
                        <w:szCs w:val="16"/>
                        <w:lang w:val="es-MX"/>
                      </w:rPr>
                      <w:t>F034</w:t>
                    </w:r>
                  </w:p>
                  <w:p w14:paraId="5D058B18" w14:textId="7509F290"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Versión: 05</w:t>
                    </w:r>
                  </w:p>
                  <w:p w14:paraId="38B605DD" w14:textId="73EAC8A9" w:rsidR="00306F8E" w:rsidRPr="00F715B8" w:rsidRDefault="00A90B41" w:rsidP="00306F8E">
                    <w:pPr>
                      <w:jc w:val="center"/>
                      <w:rPr>
                        <w:rFonts w:ascii="Garamond" w:hAnsi="Garamond" w:cs="Arial"/>
                        <w:sz w:val="16"/>
                        <w:szCs w:val="16"/>
                        <w:lang w:val="es-MX"/>
                      </w:rPr>
                    </w:pPr>
                    <w:r w:rsidRPr="00F715B8">
                      <w:rPr>
                        <w:rFonts w:ascii="Garamond" w:hAnsi="Garamond" w:cs="Arial"/>
                        <w:sz w:val="16"/>
                        <w:szCs w:val="16"/>
                        <w:lang w:val="es-MX"/>
                      </w:rPr>
                      <w:t xml:space="preserve">Vigencia: </w:t>
                    </w:r>
                    <w:r w:rsidR="008A2B33">
                      <w:rPr>
                        <w:rFonts w:ascii="Garamond" w:hAnsi="Garamond" w:cs="Arial"/>
                        <w:sz w:val="16"/>
                        <w:szCs w:val="16"/>
                        <w:lang w:val="es-MX"/>
                      </w:rPr>
                      <w:t>11</w:t>
                    </w:r>
                    <w:r w:rsidRPr="00F715B8">
                      <w:rPr>
                        <w:rFonts w:ascii="Garamond" w:hAnsi="Garamond" w:cs="Arial"/>
                        <w:sz w:val="16"/>
                        <w:szCs w:val="16"/>
                        <w:lang w:val="es-MX"/>
                      </w:rPr>
                      <w:t xml:space="preserve"> de julio de 2024</w:t>
                    </w:r>
                  </w:p>
                  <w:p w14:paraId="1954EC93" w14:textId="470DC87A" w:rsidR="00FD25EC" w:rsidRPr="00F715B8" w:rsidRDefault="00306F8E" w:rsidP="00306F8E">
                    <w:pPr>
                      <w:jc w:val="center"/>
                      <w:rPr>
                        <w:rFonts w:ascii="Garamond" w:hAnsi="Garamond" w:cs="Arial"/>
                        <w:sz w:val="16"/>
                        <w:szCs w:val="16"/>
                        <w:lang w:val="es-MX"/>
                      </w:rPr>
                    </w:pPr>
                    <w:r w:rsidRPr="00F715B8">
                      <w:rPr>
                        <w:rFonts w:ascii="Garamond" w:hAnsi="Garamond" w:cs="Arial"/>
                        <w:sz w:val="16"/>
                        <w:szCs w:val="16"/>
                        <w:lang w:val="es-MX"/>
                      </w:rPr>
                      <w:t xml:space="preserve">Caso HOLA: </w:t>
                    </w:r>
                    <w:r w:rsidR="008A2B33">
                      <w:rPr>
                        <w:rFonts w:ascii="Garamond" w:hAnsi="Garamond" w:cs="Arial"/>
                        <w:sz w:val="16"/>
                        <w:szCs w:val="16"/>
                        <w:lang w:val="es-MX"/>
                      </w:rPr>
                      <w:t>59797</w:t>
                    </w:r>
                  </w:p>
                  <w:p w14:paraId="532C0C24" w14:textId="77777777" w:rsidR="00FF6885" w:rsidRPr="00F715B8" w:rsidRDefault="00FF6885" w:rsidP="00047BA4">
                    <w:pPr>
                      <w:jc w:val="center"/>
                      <w:rPr>
                        <w:rFonts w:ascii="Garamond" w:hAnsi="Garamond" w:cs="Arial"/>
                        <w:sz w:val="16"/>
                        <w:szCs w:val="16"/>
                        <w:lang w:val="es-MX"/>
                      </w:rPr>
                    </w:pPr>
                  </w:p>
                </w:txbxContent>
              </v:textbox>
              <w10:wrap type="through" anchorx="margin"/>
            </v:rect>
          </w:pict>
        </mc:Fallback>
      </mc:AlternateContent>
    </w:r>
    <w:r w:rsidR="00047BA4">
      <w:rPr>
        <w:noProof/>
        <w:lang w:eastAsia="es-CO" w:bidi="ar-SA"/>
      </w:rPr>
      <w:drawing>
        <wp:anchor distT="0" distB="0" distL="0" distR="0" simplePos="0" relativeHeight="251675648" behindDoc="0" locked="0" layoutInCell="1" allowOverlap="1" wp14:anchorId="112EC2E7" wp14:editId="215C0EA3">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7E892" w14:textId="0AE7CB47" w:rsidR="00FF6885" w:rsidRDefault="00613529">
    <w:pPr>
      <w:pStyle w:val="Piedepgina"/>
    </w:pPr>
    <w:r>
      <w:rPr>
        <w:rFonts w:eastAsia="MS Mincho"/>
        <w:noProof/>
        <w:szCs w:val="24"/>
        <w:lang w:eastAsia="es-CO" w:bidi="ar-SA"/>
      </w:rPr>
      <mc:AlternateContent>
        <mc:Choice Requires="wps">
          <w:drawing>
            <wp:anchor distT="0" distB="0" distL="114300" distR="114300" simplePos="0" relativeHeight="251667456" behindDoc="0" locked="0" layoutInCell="1" allowOverlap="1" wp14:anchorId="7F1F420F" wp14:editId="796E0EB3">
              <wp:simplePos x="0" y="0"/>
              <wp:positionH relativeFrom="margin">
                <wp:align>center</wp:align>
              </wp:positionH>
              <wp:positionV relativeFrom="paragraph">
                <wp:posOffset>-274955</wp:posOffset>
              </wp:positionV>
              <wp:extent cx="1895475" cy="695325"/>
              <wp:effectExtent l="0" t="0" r="9525" b="9525"/>
              <wp:wrapThrough wrapText="bothSides">
                <wp:wrapPolygon edited="0">
                  <wp:start x="0" y="0"/>
                  <wp:lineTo x="0" y="21304"/>
                  <wp:lineTo x="21491" y="21304"/>
                  <wp:lineTo x="21491" y="0"/>
                  <wp:lineTo x="0" y="0"/>
                </wp:wrapPolygon>
              </wp:wrapThrough>
              <wp:docPr id="8" name="Rectángulo 12"/>
              <wp:cNvGraphicFramePr/>
              <a:graphic xmlns:a="http://schemas.openxmlformats.org/drawingml/2006/main">
                <a:graphicData uri="http://schemas.microsoft.com/office/word/2010/wordprocessingShape">
                  <wps:wsp>
                    <wps:cNvSpPr/>
                    <wps:spPr>
                      <a:xfrm>
                        <a:off x="0" y="0"/>
                        <a:ext cx="1895475" cy="695325"/>
                      </a:xfrm>
                      <a:prstGeom prst="rect">
                        <a:avLst/>
                      </a:prstGeom>
                      <a:solidFill>
                        <a:srgbClr val="FFFFFF"/>
                      </a:solidFill>
                      <a:ln cap="flat">
                        <a:noFill/>
                        <a:prstDash val="solid"/>
                      </a:ln>
                    </wps:spPr>
                    <wps:txbx>
                      <w:txbxContent>
                        <w:p w14:paraId="6BAFA3F7" w14:textId="77777777" w:rsidR="00FF6885" w:rsidRPr="00613529" w:rsidRDefault="00FF6885">
                          <w:pPr>
                            <w:rPr>
                              <w:rFonts w:ascii="Garamond" w:hAnsi="Garamond" w:cs="Arial"/>
                              <w:sz w:val="16"/>
                              <w:szCs w:val="16"/>
                              <w:lang w:val="es-MX"/>
                            </w:rPr>
                          </w:pPr>
                        </w:p>
                        <w:p w14:paraId="4C3223EE" w14:textId="7E9155AA" w:rsidR="00FF6885" w:rsidRPr="00613529" w:rsidRDefault="00047BA4">
                          <w:pPr>
                            <w:jc w:val="center"/>
                            <w:rPr>
                              <w:rFonts w:ascii="Garamond" w:hAnsi="Garamond" w:cs="Arial"/>
                              <w:sz w:val="16"/>
                              <w:szCs w:val="16"/>
                              <w:lang w:val="es-MX"/>
                            </w:rPr>
                          </w:pPr>
                          <w:r w:rsidRPr="00613529">
                            <w:rPr>
                              <w:rFonts w:ascii="Garamond" w:hAnsi="Garamond" w:cs="Arial"/>
                              <w:sz w:val="16"/>
                              <w:szCs w:val="16"/>
                              <w:lang w:val="es-MX"/>
                            </w:rPr>
                            <w:t xml:space="preserve">Código: </w:t>
                          </w:r>
                          <w:r w:rsidR="00B212E5" w:rsidRPr="00613529">
                            <w:rPr>
                              <w:rFonts w:ascii="Garamond" w:hAnsi="Garamond" w:cs="Arial"/>
                              <w:sz w:val="16"/>
                              <w:szCs w:val="16"/>
                              <w:lang w:val="es-MX"/>
                            </w:rPr>
                            <w:t>GDI</w:t>
                          </w:r>
                          <w:r w:rsidR="008A2B33">
                            <w:rPr>
                              <w:rFonts w:ascii="Garamond" w:hAnsi="Garamond" w:cs="Arial"/>
                              <w:sz w:val="16"/>
                              <w:szCs w:val="16"/>
                              <w:lang w:val="es-MX"/>
                            </w:rPr>
                            <w:t>-</w:t>
                          </w:r>
                          <w:r w:rsidR="00B212E5" w:rsidRPr="00613529">
                            <w:rPr>
                              <w:rFonts w:ascii="Garamond" w:hAnsi="Garamond" w:cs="Arial"/>
                              <w:sz w:val="16"/>
                              <w:szCs w:val="16"/>
                              <w:lang w:val="es-MX"/>
                            </w:rPr>
                            <w:t>GPD</w:t>
                          </w:r>
                          <w:r w:rsidR="008A2B33">
                            <w:rPr>
                              <w:rFonts w:ascii="Garamond" w:hAnsi="Garamond" w:cs="Arial"/>
                              <w:sz w:val="16"/>
                              <w:szCs w:val="16"/>
                              <w:lang w:val="es-MX"/>
                            </w:rPr>
                            <w:t>-</w:t>
                          </w:r>
                          <w:r w:rsidR="00B212E5" w:rsidRPr="00613529">
                            <w:rPr>
                              <w:rFonts w:ascii="Garamond" w:hAnsi="Garamond" w:cs="Arial"/>
                              <w:sz w:val="16"/>
                              <w:szCs w:val="16"/>
                              <w:lang w:val="es-MX"/>
                            </w:rPr>
                            <w:t>F034</w:t>
                          </w:r>
                        </w:p>
                        <w:p w14:paraId="3A993C33" w14:textId="0A9B3516" w:rsidR="00FF6885" w:rsidRPr="00613529" w:rsidRDefault="00B212E5">
                          <w:pPr>
                            <w:jc w:val="center"/>
                            <w:rPr>
                              <w:rFonts w:ascii="Garamond" w:hAnsi="Garamond" w:cs="Arial"/>
                              <w:sz w:val="16"/>
                              <w:szCs w:val="16"/>
                              <w:lang w:val="es-MX"/>
                            </w:rPr>
                          </w:pPr>
                          <w:r w:rsidRPr="00613529">
                            <w:rPr>
                              <w:rFonts w:ascii="Garamond" w:hAnsi="Garamond" w:cs="Arial"/>
                              <w:sz w:val="16"/>
                              <w:szCs w:val="16"/>
                              <w:lang w:val="es-MX"/>
                            </w:rPr>
                            <w:t>Versión: 0</w:t>
                          </w:r>
                          <w:r w:rsidR="00A7746E" w:rsidRPr="00613529">
                            <w:rPr>
                              <w:rFonts w:ascii="Garamond" w:hAnsi="Garamond" w:cs="Arial"/>
                              <w:sz w:val="16"/>
                              <w:szCs w:val="16"/>
                              <w:lang w:val="es-MX"/>
                            </w:rPr>
                            <w:t>5</w:t>
                          </w:r>
                        </w:p>
                        <w:p w14:paraId="23A74918" w14:textId="204113A6" w:rsidR="00FF6885" w:rsidRPr="00613529" w:rsidRDefault="00B212E5" w:rsidP="00047BA4">
                          <w:pPr>
                            <w:jc w:val="center"/>
                            <w:rPr>
                              <w:rFonts w:ascii="Garamond" w:hAnsi="Garamond" w:cs="Arial"/>
                              <w:sz w:val="16"/>
                              <w:szCs w:val="16"/>
                              <w:lang w:val="es-MX"/>
                            </w:rPr>
                          </w:pPr>
                          <w:r w:rsidRPr="00613529">
                            <w:rPr>
                              <w:rFonts w:ascii="Garamond" w:hAnsi="Garamond" w:cs="Arial"/>
                              <w:sz w:val="16"/>
                              <w:szCs w:val="16"/>
                              <w:lang w:val="es-MX"/>
                            </w:rPr>
                            <w:t>Vigencia</w:t>
                          </w:r>
                          <w:r w:rsidR="00A90B41" w:rsidRPr="00613529">
                            <w:rPr>
                              <w:rFonts w:ascii="Garamond" w:hAnsi="Garamond" w:cs="Arial"/>
                              <w:sz w:val="16"/>
                              <w:szCs w:val="16"/>
                              <w:lang w:val="es-MX"/>
                            </w:rPr>
                            <w:t xml:space="preserve">: </w:t>
                          </w:r>
                          <w:r w:rsidR="00B46C64">
                            <w:rPr>
                              <w:rFonts w:ascii="Garamond" w:hAnsi="Garamond" w:cs="Arial"/>
                              <w:sz w:val="16"/>
                              <w:szCs w:val="16"/>
                              <w:lang w:val="es-MX"/>
                            </w:rPr>
                            <w:t>11</w:t>
                          </w:r>
                          <w:r w:rsidR="00A7746E" w:rsidRPr="00613529">
                            <w:rPr>
                              <w:rFonts w:ascii="Garamond" w:hAnsi="Garamond" w:cs="Arial"/>
                              <w:sz w:val="16"/>
                              <w:szCs w:val="16"/>
                              <w:lang w:val="es-MX"/>
                            </w:rPr>
                            <w:t xml:space="preserve"> de julio de 2024 </w:t>
                          </w:r>
                          <w:r w:rsidR="00A90B41" w:rsidRPr="00613529">
                            <w:rPr>
                              <w:rFonts w:ascii="Garamond" w:hAnsi="Garamond" w:cs="Arial"/>
                              <w:sz w:val="16"/>
                              <w:szCs w:val="16"/>
                              <w:lang w:val="es-MX"/>
                            </w:rPr>
                            <w:t xml:space="preserve"> </w:t>
                          </w:r>
                        </w:p>
                        <w:p w14:paraId="1A3BB4F4" w14:textId="4D07F25D" w:rsidR="00FD25EC" w:rsidRPr="00613529" w:rsidRDefault="00FD25EC"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sidR="008A2B33">
                            <w:rPr>
                              <w:rFonts w:ascii="Garamond" w:hAnsi="Garamond" w:cs="Arial"/>
                              <w:sz w:val="16"/>
                              <w:szCs w:val="16"/>
                              <w:lang w:val="es-MX"/>
                            </w:rPr>
                            <w:t>59797</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xmlns:oel="http://schemas.microsoft.com/office/2019/extlst">
          <w:pict>
            <v:rect w14:anchorId="7F1F420F" id="Rectángulo 12" o:spid="_x0000_s1028" style="position:absolute;margin-left:0;margin-top:-21.65pt;width:149.25pt;height:54.75pt;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" stroked="f">
              <v:textbox inset="2.5575mm,1.2875mm,2.5575mm,1.2875mm">
                <w:txbxContent>
                  <w:p w14:paraId="6BAFA3F7" w14:textId="77777777" w:rsidR="00FF6885" w:rsidRPr="00613529" w:rsidRDefault="00FF6885">
                    <w:pPr>
                      <w:rPr>
                        <w:rFonts w:ascii="Garamond" w:hAnsi="Garamond" w:cs="Arial"/>
                        <w:sz w:val="16"/>
                        <w:szCs w:val="16"/>
                        <w:lang w:val="es-MX"/>
                      </w:rPr>
                    </w:pPr>
                  </w:p>
                  <w:p w14:paraId="4C3223EE" w14:textId="7E9155AA" w:rsidR="00FF6885" w:rsidRPr="00613529" w:rsidRDefault="00047BA4">
                    <w:pPr>
                      <w:jc w:val="center"/>
                      <w:rPr>
                        <w:rFonts w:ascii="Garamond" w:hAnsi="Garamond" w:cs="Arial"/>
                        <w:sz w:val="16"/>
                        <w:szCs w:val="16"/>
                        <w:lang w:val="es-MX"/>
                      </w:rPr>
                    </w:pPr>
                    <w:r w:rsidRPr="00613529">
                      <w:rPr>
                        <w:rFonts w:ascii="Garamond" w:hAnsi="Garamond" w:cs="Arial"/>
                        <w:sz w:val="16"/>
                        <w:szCs w:val="16"/>
                        <w:lang w:val="es-MX"/>
                      </w:rPr>
                      <w:t xml:space="preserve">Código: </w:t>
                    </w:r>
                    <w:r w:rsidR="00B212E5" w:rsidRPr="00613529">
                      <w:rPr>
                        <w:rFonts w:ascii="Garamond" w:hAnsi="Garamond" w:cs="Arial"/>
                        <w:sz w:val="16"/>
                        <w:szCs w:val="16"/>
                        <w:lang w:val="es-MX"/>
                      </w:rPr>
                      <w:t>GDI</w:t>
                    </w:r>
                    <w:r w:rsidR="008A2B33">
                      <w:rPr>
                        <w:rFonts w:ascii="Garamond" w:hAnsi="Garamond" w:cs="Arial"/>
                        <w:sz w:val="16"/>
                        <w:szCs w:val="16"/>
                        <w:lang w:val="es-MX"/>
                      </w:rPr>
                      <w:t>-</w:t>
                    </w:r>
                    <w:r w:rsidR="00B212E5" w:rsidRPr="00613529">
                      <w:rPr>
                        <w:rFonts w:ascii="Garamond" w:hAnsi="Garamond" w:cs="Arial"/>
                        <w:sz w:val="16"/>
                        <w:szCs w:val="16"/>
                        <w:lang w:val="es-MX"/>
                      </w:rPr>
                      <w:t>GPD</w:t>
                    </w:r>
                    <w:r w:rsidR="008A2B33">
                      <w:rPr>
                        <w:rFonts w:ascii="Garamond" w:hAnsi="Garamond" w:cs="Arial"/>
                        <w:sz w:val="16"/>
                        <w:szCs w:val="16"/>
                        <w:lang w:val="es-MX"/>
                      </w:rPr>
                      <w:t>-</w:t>
                    </w:r>
                    <w:r w:rsidR="00B212E5" w:rsidRPr="00613529">
                      <w:rPr>
                        <w:rFonts w:ascii="Garamond" w:hAnsi="Garamond" w:cs="Arial"/>
                        <w:sz w:val="16"/>
                        <w:szCs w:val="16"/>
                        <w:lang w:val="es-MX"/>
                      </w:rPr>
                      <w:t>F034</w:t>
                    </w:r>
                  </w:p>
                  <w:p w14:paraId="3A993C33" w14:textId="0A9B3516" w:rsidR="00FF6885" w:rsidRPr="00613529" w:rsidRDefault="00B212E5">
                    <w:pPr>
                      <w:jc w:val="center"/>
                      <w:rPr>
                        <w:rFonts w:ascii="Garamond" w:hAnsi="Garamond" w:cs="Arial"/>
                        <w:sz w:val="16"/>
                        <w:szCs w:val="16"/>
                        <w:lang w:val="es-MX"/>
                      </w:rPr>
                    </w:pPr>
                    <w:r w:rsidRPr="00613529">
                      <w:rPr>
                        <w:rFonts w:ascii="Garamond" w:hAnsi="Garamond" w:cs="Arial"/>
                        <w:sz w:val="16"/>
                        <w:szCs w:val="16"/>
                        <w:lang w:val="es-MX"/>
                      </w:rPr>
                      <w:t>Versión: 0</w:t>
                    </w:r>
                    <w:r w:rsidR="00A7746E" w:rsidRPr="00613529">
                      <w:rPr>
                        <w:rFonts w:ascii="Garamond" w:hAnsi="Garamond" w:cs="Arial"/>
                        <w:sz w:val="16"/>
                        <w:szCs w:val="16"/>
                        <w:lang w:val="es-MX"/>
                      </w:rPr>
                      <w:t>5</w:t>
                    </w:r>
                  </w:p>
                  <w:p w14:paraId="23A74918" w14:textId="204113A6" w:rsidR="00FF6885" w:rsidRPr="00613529" w:rsidRDefault="00B212E5" w:rsidP="00047BA4">
                    <w:pPr>
                      <w:jc w:val="center"/>
                      <w:rPr>
                        <w:rFonts w:ascii="Garamond" w:hAnsi="Garamond" w:cs="Arial"/>
                        <w:sz w:val="16"/>
                        <w:szCs w:val="16"/>
                        <w:lang w:val="es-MX"/>
                      </w:rPr>
                    </w:pPr>
                    <w:r w:rsidRPr="00613529">
                      <w:rPr>
                        <w:rFonts w:ascii="Garamond" w:hAnsi="Garamond" w:cs="Arial"/>
                        <w:sz w:val="16"/>
                        <w:szCs w:val="16"/>
                        <w:lang w:val="es-MX"/>
                      </w:rPr>
                      <w:t>Vigencia</w:t>
                    </w:r>
                    <w:r w:rsidR="00A90B41" w:rsidRPr="00613529">
                      <w:rPr>
                        <w:rFonts w:ascii="Garamond" w:hAnsi="Garamond" w:cs="Arial"/>
                        <w:sz w:val="16"/>
                        <w:szCs w:val="16"/>
                        <w:lang w:val="es-MX"/>
                      </w:rPr>
                      <w:t xml:space="preserve">: </w:t>
                    </w:r>
                    <w:r w:rsidR="00B46C64">
                      <w:rPr>
                        <w:rFonts w:ascii="Garamond" w:hAnsi="Garamond" w:cs="Arial"/>
                        <w:sz w:val="16"/>
                        <w:szCs w:val="16"/>
                        <w:lang w:val="es-MX"/>
                      </w:rPr>
                      <w:t>11</w:t>
                    </w:r>
                    <w:r w:rsidR="00A7746E" w:rsidRPr="00613529">
                      <w:rPr>
                        <w:rFonts w:ascii="Garamond" w:hAnsi="Garamond" w:cs="Arial"/>
                        <w:sz w:val="16"/>
                        <w:szCs w:val="16"/>
                        <w:lang w:val="es-MX"/>
                      </w:rPr>
                      <w:t xml:space="preserve"> de julio de 2024 </w:t>
                    </w:r>
                    <w:r w:rsidR="00A90B41" w:rsidRPr="00613529">
                      <w:rPr>
                        <w:rFonts w:ascii="Garamond" w:hAnsi="Garamond" w:cs="Arial"/>
                        <w:sz w:val="16"/>
                        <w:szCs w:val="16"/>
                        <w:lang w:val="es-MX"/>
                      </w:rPr>
                      <w:t xml:space="preserve"> </w:t>
                    </w:r>
                  </w:p>
                  <w:p w14:paraId="1A3BB4F4" w14:textId="4D07F25D" w:rsidR="00FD25EC" w:rsidRPr="00613529" w:rsidRDefault="00FD25EC" w:rsidP="00047BA4">
                    <w:pPr>
                      <w:jc w:val="center"/>
                      <w:rPr>
                        <w:rFonts w:ascii="Garamond" w:hAnsi="Garamond" w:cs="Arial"/>
                        <w:sz w:val="16"/>
                        <w:szCs w:val="16"/>
                        <w:lang w:val="es-MX"/>
                      </w:rPr>
                    </w:pPr>
                    <w:r w:rsidRPr="00613529">
                      <w:rPr>
                        <w:rFonts w:ascii="Garamond" w:hAnsi="Garamond" w:cs="Arial"/>
                        <w:sz w:val="16"/>
                        <w:szCs w:val="16"/>
                        <w:lang w:val="es-MX"/>
                      </w:rPr>
                      <w:t xml:space="preserve">Caso HOLA: </w:t>
                    </w:r>
                    <w:r w:rsidR="008A2B33">
                      <w:rPr>
                        <w:rFonts w:ascii="Garamond" w:hAnsi="Garamond" w:cs="Arial"/>
                        <w:sz w:val="16"/>
                        <w:szCs w:val="16"/>
                        <w:lang w:val="es-MX"/>
                      </w:rPr>
                      <w:t>59797</w:t>
                    </w:r>
                  </w:p>
                </w:txbxContent>
              </v:textbox>
              <w10:wrap type="through" anchorx="margin"/>
            </v:rect>
          </w:pict>
        </mc:Fallback>
      </mc:AlternateContent>
    </w:r>
    <w:r w:rsidR="009E1C70">
      <w:rPr>
        <w:noProof/>
        <w:lang w:eastAsia="es-CO" w:bidi="ar-SA"/>
      </w:rPr>
      <mc:AlternateContent>
        <mc:Choice Requires="wps">
          <w:drawing>
            <wp:anchor distT="0" distB="0" distL="114300" distR="114300" simplePos="0" relativeHeight="251679744" behindDoc="0" locked="0" layoutInCell="1" allowOverlap="1" wp14:anchorId="6EE6B896" wp14:editId="77C0545A">
              <wp:simplePos x="0" y="0"/>
              <wp:positionH relativeFrom="column">
                <wp:posOffset>-156210</wp:posOffset>
              </wp:positionH>
              <wp:positionV relativeFrom="paragraph">
                <wp:posOffset>-319405</wp:posOffset>
              </wp:positionV>
              <wp:extent cx="1581150" cy="800100"/>
              <wp:effectExtent l="0" t="0" r="0" b="0"/>
              <wp:wrapNone/>
              <wp:docPr id="1" name="Rectángulo 9"/>
              <wp:cNvGraphicFramePr/>
              <a:graphic xmlns:a="http://schemas.openxmlformats.org/drawingml/2006/main">
                <a:graphicData uri="http://schemas.microsoft.com/office/word/2010/wordprocessingShape">
                  <wps:wsp>
                    <wps:cNvSpPr/>
                    <wps:spPr>
                      <a:xfrm>
                        <a:off x="0" y="0"/>
                        <a:ext cx="1581150" cy="800100"/>
                      </a:xfrm>
                      <a:prstGeom prst="rect">
                        <a:avLst/>
                      </a:prstGeom>
                      <a:solidFill>
                        <a:srgbClr val="FFFFFF"/>
                      </a:solidFill>
                      <a:ln cap="flat">
                        <a:noFill/>
                        <a:prstDash val="solid"/>
                      </a:ln>
                    </wps:spPr>
                    <wps:txbx>
                      <w:txbxContent>
                        <w:p w14:paraId="63AE064D"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Edificio Liévano</w:t>
                          </w:r>
                        </w:p>
                        <w:p w14:paraId="26349A81"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Calle 11 No. 8 -17</w:t>
                          </w:r>
                        </w:p>
                        <w:p w14:paraId="4B181B3B"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 xml:space="preserve">Código Postal: 111711 </w:t>
                          </w:r>
                        </w:p>
                        <w:p w14:paraId="76D9948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Tel. 3387000 - 3820660</w:t>
                          </w:r>
                        </w:p>
                        <w:p w14:paraId="1422EC3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Información Línea 195</w:t>
                          </w:r>
                        </w:p>
                        <w:p w14:paraId="1ACBA051" w14:textId="77777777" w:rsidR="005559EA" w:rsidRPr="00565CEE" w:rsidRDefault="005559EA" w:rsidP="005559EA">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5A0B99B4" w14:textId="38F6C4EC" w:rsidR="00EB4998" w:rsidRPr="00B46C64" w:rsidRDefault="00EB4998" w:rsidP="00595F74">
                          <w:pPr>
                            <w:rPr>
                              <w:rFonts w:ascii="Garamond" w:hAnsi="Garamond" w:cs="Arial"/>
                              <w:color w:val="000000" w:themeColor="text1"/>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xmlns:oel="http://schemas.microsoft.com/office/2019/extlst">
          <w:pict>
            <v:rect w14:anchorId="6EE6B896" id="_x0000_s1029" style="position:absolute;margin-left:-12.3pt;margin-top:-25.15pt;width:124.5pt;height:63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" stroked="f">
              <v:textbox inset="2.5575mm,1.2875mm,2.5575mm,1.2875mm">
                <w:txbxContent>
                  <w:p w14:paraId="63AE064D"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Edificio Liévano</w:t>
                    </w:r>
                  </w:p>
                  <w:p w14:paraId="26349A81"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Calle 11 No. 8 -17</w:t>
                    </w:r>
                  </w:p>
                  <w:p w14:paraId="4B181B3B"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 xml:space="preserve">Código Postal: 111711 </w:t>
                    </w:r>
                  </w:p>
                  <w:p w14:paraId="76D9948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Tel. 3387000 - 3820660</w:t>
                    </w:r>
                  </w:p>
                  <w:p w14:paraId="1422EC30" w14:textId="77777777" w:rsidR="005559EA" w:rsidRPr="00565CEE" w:rsidRDefault="005559EA" w:rsidP="005559EA">
                    <w:pPr>
                      <w:textDirection w:val="btLr"/>
                      <w:rPr>
                        <w:sz w:val="12"/>
                        <w:szCs w:val="12"/>
                      </w:rPr>
                    </w:pPr>
                    <w:r w:rsidRPr="00565CEE">
                      <w:rPr>
                        <w:rFonts w:ascii="Arial" w:eastAsia="Arial" w:hAnsi="Arial" w:cs="Arial"/>
                        <w:color w:val="000000"/>
                        <w:sz w:val="12"/>
                        <w:szCs w:val="12"/>
                      </w:rPr>
                      <w:t>Información Línea 195</w:t>
                    </w:r>
                  </w:p>
                  <w:p w14:paraId="1ACBA051" w14:textId="77777777" w:rsidR="005559EA" w:rsidRPr="00565CEE" w:rsidRDefault="005559EA" w:rsidP="005559EA">
                    <w:pPr>
                      <w:spacing w:line="275" w:lineRule="auto"/>
                      <w:textDirection w:val="btLr"/>
                      <w:rPr>
                        <w:sz w:val="12"/>
                        <w:szCs w:val="12"/>
                      </w:rPr>
                    </w:pPr>
                    <w:r w:rsidRPr="00565CEE">
                      <w:rPr>
                        <w:rFonts w:ascii="Arial" w:eastAsia="Arial" w:hAnsi="Arial" w:cs="Arial"/>
                        <w:color w:val="000000"/>
                        <w:sz w:val="12"/>
                        <w:szCs w:val="12"/>
                      </w:rPr>
                      <w:t>www.gobiernobogota.gov.coTel. 3387000 - 3820660</w:t>
                    </w:r>
                  </w:p>
                  <w:p w14:paraId="5A0B99B4" w14:textId="38F6C4EC" w:rsidR="00EB4998" w:rsidRPr="00B46C64" w:rsidRDefault="00EB4998" w:rsidP="00595F74">
                    <w:pPr>
                      <w:rPr>
                        <w:rFonts w:ascii="Garamond" w:hAnsi="Garamond" w:cs="Arial"/>
                        <w:color w:val="000000" w:themeColor="text1"/>
                        <w:sz w:val="16"/>
                        <w:szCs w:val="16"/>
                        <w:lang w:val="es-MX"/>
                      </w:rPr>
                    </w:pPr>
                  </w:p>
                </w:txbxContent>
              </v:textbox>
            </v:rect>
          </w:pict>
        </mc:Fallback>
      </mc:AlternateContent>
    </w:r>
    <w:r w:rsidR="00595F74">
      <w:rPr>
        <w:noProof/>
        <w:lang w:eastAsia="es-CO" w:bidi="ar-SA"/>
      </w:rPr>
      <mc:AlternateContent>
        <mc:Choice Requires="wps">
          <w:drawing>
            <wp:anchor distT="0" distB="0" distL="114300" distR="114300" simplePos="0" relativeHeight="251681792" behindDoc="0" locked="0" layoutInCell="1" allowOverlap="1" wp14:anchorId="2DD1E1C5" wp14:editId="60336396">
              <wp:simplePos x="0" y="0"/>
              <wp:positionH relativeFrom="column">
                <wp:posOffset>1533525</wp:posOffset>
              </wp:positionH>
              <wp:positionV relativeFrom="paragraph">
                <wp:posOffset>-299720</wp:posOffset>
              </wp:positionV>
              <wp:extent cx="0" cy="753745"/>
              <wp:effectExtent l="8890" t="5080" r="10160" b="1270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pic="http://schemas.openxmlformats.org/drawingml/2006/picture" xmlns:a14="http://schemas.microsoft.com/office/drawing/2010/main" xmlns:a="http://schemas.openxmlformats.org/drawingml/2006/main" xmlns:oel="http://schemas.microsoft.com/office/2019/extlst">
          <w:pict w14:anchorId="72CDF441">
            <v:shapetype id="_x0000_t32" coordsize="21600,21600" o:oned="t" filled="f" o:spt="32" path="m,l21600,21600e" w14:anchorId="41C062EB">
              <v:path fillok="f" arrowok="t" o:connecttype="none"/>
              <o:lock v:ext="edit" shapetype="t"/>
            </v:shapetype>
            <v:shape id="AutoShape 5" style="position:absolute;margin-left:120.75pt;margin-top:-23.6pt;width:0;height:59.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"/>
          </w:pict>
        </mc:Fallback>
      </mc:AlternateContent>
    </w:r>
    <w:r w:rsidR="00047BA4">
      <w:rPr>
        <w:noProof/>
        <w:lang w:eastAsia="es-CO" w:bidi="ar-SA"/>
      </w:rPr>
      <w:drawing>
        <wp:anchor distT="0" distB="0" distL="0" distR="0" simplePos="0" relativeHeight="251673600" behindDoc="0" locked="0" layoutInCell="1" allowOverlap="1" wp14:anchorId="5062D081" wp14:editId="78A121B6">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p w14:paraId="4061E967" w14:textId="1F227DDD" w:rsidR="00FF6885" w:rsidRDefault="00FF688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A3FEC" w14:textId="77777777" w:rsidR="00EE7BD1" w:rsidRDefault="00EE7BD1">
      <w:r>
        <w:rPr>
          <w:color w:val="000000"/>
        </w:rPr>
        <w:separator/>
      </w:r>
    </w:p>
  </w:footnote>
  <w:footnote w:type="continuationSeparator" w:id="0">
    <w:p w14:paraId="39638520" w14:textId="77777777" w:rsidR="00EE7BD1" w:rsidRDefault="00EE7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108F8" w14:textId="635D2CA1" w:rsidR="00FF6885" w:rsidRDefault="00047BA4">
    <w:pPr>
      <w:pStyle w:val="Heading"/>
      <w:jc w:val="center"/>
    </w:pPr>
    <w:r>
      <w:rPr>
        <w:noProof/>
        <w:lang w:eastAsia="es-CO"/>
      </w:rPr>
      <w:drawing>
        <wp:anchor distT="0" distB="0" distL="114300" distR="114300" simplePos="0" relativeHeight="251671552" behindDoc="1" locked="0" layoutInCell="1" allowOverlap="1" wp14:anchorId="346F8D0E" wp14:editId="368325EE">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481F78C" w14:textId="77777777" w:rsidR="00FF6885" w:rsidRDefault="00FF6885">
    <w:pPr>
      <w:pStyle w:val="Heading"/>
      <w:jc w:val="center"/>
    </w:pPr>
  </w:p>
  <w:p w14:paraId="49028D9A" w14:textId="77777777" w:rsidR="00047BA4" w:rsidRDefault="00047BA4">
    <w:pPr>
      <w:pStyle w:val="Heading"/>
      <w:jc w:val="center"/>
    </w:pPr>
  </w:p>
  <w:p w14:paraId="32C7F27B" w14:textId="77777777" w:rsidR="00047BA4" w:rsidRDefault="00047BA4">
    <w:pPr>
      <w:pStyle w:val="Heading"/>
      <w:jc w:val="center"/>
    </w:pPr>
  </w:p>
  <w:p w14:paraId="03B02AD2" w14:textId="422D7A45" w:rsidR="00A172ED" w:rsidRPr="00047BA4" w:rsidRDefault="7E38D15A" w:rsidP="7E38D15A">
    <w:pPr>
      <w:pStyle w:val="Heading"/>
      <w:jc w:val="center"/>
      <w:rPr>
        <w:rFonts w:ascii="Garamond" w:hAnsi="Garamond" w:cs="Arial"/>
        <w:b/>
        <w:bCs/>
        <w:sz w:val="24"/>
        <w:szCs w:val="24"/>
      </w:rPr>
    </w:pPr>
    <w:r w:rsidRPr="7E38D15A">
      <w:rPr>
        <w:rFonts w:ascii="Garamond" w:hAnsi="Garamond" w:cs="Arial"/>
        <w:b/>
        <w:bCs/>
        <w:sz w:val="24"/>
        <w:szCs w:val="24"/>
      </w:rPr>
      <w:t>RESOLUCION No.           de 2026</w:t>
    </w:r>
  </w:p>
  <w:p w14:paraId="18676E24" w14:textId="77777777" w:rsidR="00A172ED" w:rsidRPr="00BA5FAD" w:rsidRDefault="00A172ED" w:rsidP="00A172ED">
    <w:pPr>
      <w:pStyle w:val="Heading"/>
      <w:jc w:val="center"/>
      <w:rPr>
        <w:rFonts w:ascii="Arial" w:hAnsi="Arial" w:cs="Arial"/>
        <w:b/>
        <w:bCs/>
        <w:i/>
        <w:iCs/>
      </w:rPr>
    </w:pPr>
  </w:p>
  <w:p w14:paraId="75FF78D5" w14:textId="61E5D3F9" w:rsidR="00FF6885" w:rsidRPr="00BA5FAD" w:rsidRDefault="00BA5FAD" w:rsidP="004F0DED">
    <w:pPr>
      <w:pBdr>
        <w:top w:val="nil"/>
        <w:left w:val="nil"/>
        <w:bottom w:val="nil"/>
        <w:right w:val="nil"/>
        <w:between w:val="nil"/>
      </w:pBdr>
      <w:tabs>
        <w:tab w:val="center" w:pos="4252"/>
        <w:tab w:val="right" w:pos="8504"/>
      </w:tabs>
      <w:jc w:val="center"/>
      <w:rPr>
        <w:rFonts w:ascii="Garamond" w:hAnsi="Garamond"/>
        <w:b/>
        <w:bCs/>
        <w:sz w:val="22"/>
        <w:szCs w:val="22"/>
      </w:rPr>
    </w:pPr>
    <w:r w:rsidRPr="00BA5FAD">
      <w:rPr>
        <w:b/>
        <w:bCs/>
      </w:rPr>
      <w:t>"POR LA CUAL SE DECIDE EL PROCEDIMIENTO ADMINISTRATIVO SANCIONATORIO CONTRACTUAL ADELANTADO CON OCASIÓN DEL PRESUNTO INCUMPLIMIENTO DEL CONTRATO DE OBRA PÚBLICA No. COP-859-2023."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D523" w14:textId="77777777" w:rsidR="001049B4" w:rsidRDefault="00047BA4" w:rsidP="00047BA4">
    <w:pPr>
      <w:pStyle w:val="Encabezado"/>
      <w:tabs>
        <w:tab w:val="left" w:pos="3810"/>
        <w:tab w:val="right" w:pos="8838"/>
      </w:tabs>
      <w:rPr>
        <w:color w:val="FFFFFF"/>
        <w:lang w:val="es-ES"/>
      </w:rPr>
    </w:pPr>
    <w:r>
      <w:rPr>
        <w:noProof/>
        <w:lang w:eastAsia="es-CO" w:bidi="ar-SA"/>
      </w:rPr>
      <w:drawing>
        <wp:anchor distT="0" distB="0" distL="114300" distR="114300" simplePos="0" relativeHeight="251717632" behindDoc="1" locked="0" layoutInCell="1" allowOverlap="1" wp14:anchorId="51EF95CC" wp14:editId="6F52A3CD">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color w:val="FFFFFF"/>
        <w:lang w:val="es-ES"/>
      </w:rPr>
      <w:tab/>
    </w:r>
    <w:r>
      <w:rPr>
        <w:color w:val="FFFFFF"/>
        <w:lang w:val="es-ES"/>
      </w:rPr>
      <w:tab/>
    </w:r>
  </w:p>
  <w:p w14:paraId="3C87DE88" w14:textId="77777777" w:rsidR="001049B4" w:rsidRDefault="001049B4" w:rsidP="00047BA4">
    <w:pPr>
      <w:pStyle w:val="Encabezado"/>
      <w:tabs>
        <w:tab w:val="left" w:pos="3810"/>
        <w:tab w:val="right" w:pos="8838"/>
      </w:tabs>
      <w:rPr>
        <w:color w:val="FFFFFF"/>
        <w:lang w:val="es-ES"/>
      </w:rPr>
    </w:pPr>
  </w:p>
  <w:p w14:paraId="6EBB2EF1" w14:textId="0893060E" w:rsidR="00FF6885" w:rsidRDefault="00B212E5" w:rsidP="00047BA4">
    <w:pPr>
      <w:pStyle w:val="Encabezado"/>
      <w:tabs>
        <w:tab w:val="left" w:pos="3810"/>
        <w:tab w:val="right" w:pos="8838"/>
      </w:tabs>
    </w:pPr>
    <w:r>
      <w:rPr>
        <w:b/>
        <w:bCs/>
        <w:color w:val="FFFFFF"/>
      </w:rPr>
      <w:fldChar w:fldCharType="begin"/>
    </w:r>
    <w:r>
      <w:rPr>
        <w:b/>
        <w:bCs/>
        <w:color w:val="FFFFFF"/>
      </w:rPr>
      <w:instrText xml:space="preserve"> PAGE </w:instrText>
    </w:r>
    <w:r>
      <w:rPr>
        <w:b/>
        <w:bCs/>
        <w:color w:val="FFFFFF"/>
      </w:rPr>
      <w:fldChar w:fldCharType="separate"/>
    </w:r>
    <w:r w:rsidR="00801051">
      <w:rPr>
        <w:b/>
        <w:bCs/>
        <w:noProof/>
        <w:color w:val="FFFFFF"/>
      </w:rPr>
      <w:t>1</w:t>
    </w:r>
    <w:r>
      <w:rPr>
        <w:b/>
        <w:bCs/>
        <w:color w:val="FFFFFF"/>
      </w:rPr>
      <w:fldChar w:fldCharType="end"/>
    </w:r>
    <w:r>
      <w:rPr>
        <w:color w:val="FFFFFF"/>
        <w:lang w:val="es-ES"/>
      </w:rPr>
      <w:t xml:space="preserve"> de </w:t>
    </w:r>
    <w:r>
      <w:rPr>
        <w:b/>
        <w:bCs/>
        <w:color w:val="FFFFFF"/>
      </w:rPr>
      <w:fldChar w:fldCharType="begin"/>
    </w:r>
    <w:r>
      <w:rPr>
        <w:b/>
        <w:bCs/>
        <w:color w:val="FFFFFF"/>
      </w:rPr>
      <w:instrText xml:space="preserve"> NUMPAGES </w:instrText>
    </w:r>
    <w:r>
      <w:rPr>
        <w:b/>
        <w:bCs/>
        <w:color w:val="FFFFFF"/>
      </w:rPr>
      <w:fldChar w:fldCharType="separate"/>
    </w:r>
    <w:r w:rsidR="00801051">
      <w:rPr>
        <w:b/>
        <w:bCs/>
        <w:noProof/>
        <w:color w:val="FFFFFF"/>
      </w:rPr>
      <w:t>4</w:t>
    </w:r>
    <w:r>
      <w:rPr>
        <w:b/>
        <w:bCs/>
        <w:color w:val="FFFFFF"/>
      </w:rPr>
      <w:fldChar w:fldCharType="end"/>
    </w:r>
  </w:p>
  <w:p w14:paraId="13393C2E" w14:textId="77777777" w:rsidR="00047BA4" w:rsidRDefault="00047BA4">
    <w:pPr>
      <w:pStyle w:val="Heading"/>
      <w:jc w:val="center"/>
      <w:rPr>
        <w:rFonts w:ascii="Arial" w:hAnsi="Arial" w:cs="Arial"/>
        <w:b/>
        <w:sz w:val="24"/>
        <w:szCs w:val="24"/>
      </w:rPr>
    </w:pPr>
  </w:p>
  <w:p w14:paraId="3455D6C3" w14:textId="6A4B373E" w:rsidR="00FC2F8C" w:rsidRPr="00047BA4" w:rsidRDefault="00A172ED" w:rsidP="00FC2F8C">
    <w:pPr>
      <w:pStyle w:val="Heading"/>
      <w:jc w:val="center"/>
      <w:rPr>
        <w:rFonts w:ascii="Garamond" w:hAnsi="Garamond"/>
      </w:rPr>
    </w:pPr>
    <w:r>
      <w:rPr>
        <w:rFonts w:ascii="Garamond" w:hAnsi="Garamond" w:cs="Arial"/>
        <w:b/>
        <w:sz w:val="24"/>
        <w:szCs w:val="24"/>
      </w:rPr>
      <w:t>RESOLUCION</w:t>
    </w:r>
    <w:r w:rsidR="00FC2F8C">
      <w:rPr>
        <w:rFonts w:ascii="Garamond" w:hAnsi="Garamond" w:cs="Arial"/>
        <w:b/>
        <w:sz w:val="24"/>
        <w:szCs w:val="24"/>
      </w:rPr>
      <w:t xml:space="preserve"> No.</w:t>
    </w:r>
    <w:r w:rsidR="00071A2C">
      <w:rPr>
        <w:rFonts w:ascii="Garamond" w:hAnsi="Garamond" w:cs="Arial"/>
        <w:b/>
        <w:sz w:val="24"/>
        <w:szCs w:val="24"/>
      </w:rPr>
      <w:t xml:space="preserve">        </w:t>
    </w:r>
    <w:r w:rsidR="00FC2F8C">
      <w:rPr>
        <w:rFonts w:ascii="Garamond" w:hAnsi="Garamond" w:cs="Arial"/>
        <w:b/>
        <w:sz w:val="24"/>
        <w:szCs w:val="24"/>
      </w:rPr>
      <w:t xml:space="preserve"> de 202</w:t>
    </w:r>
    <w:r w:rsidR="00071A2C">
      <w:rPr>
        <w:rFonts w:ascii="Garamond" w:hAnsi="Garamond" w:cs="Arial"/>
        <w:b/>
        <w:sz w:val="24"/>
        <w:szCs w:val="24"/>
      </w:rPr>
      <w:t>6</w:t>
    </w:r>
  </w:p>
  <w:p w14:paraId="3D7C420D" w14:textId="77777777" w:rsidR="001714E6" w:rsidRPr="00BA5FAD" w:rsidRDefault="001714E6" w:rsidP="001714E6">
    <w:pPr>
      <w:pStyle w:val="Heading"/>
      <w:jc w:val="center"/>
      <w:rPr>
        <w:rFonts w:ascii="Arial" w:hAnsi="Arial" w:cs="Arial"/>
        <w:b/>
        <w:bCs/>
        <w:i/>
        <w:iCs/>
      </w:rPr>
    </w:pPr>
  </w:p>
  <w:p w14:paraId="489B2026" w14:textId="77777777" w:rsidR="004F1929" w:rsidRDefault="00BA5FAD" w:rsidP="001714E6">
    <w:pPr>
      <w:pBdr>
        <w:top w:val="nil"/>
        <w:left w:val="nil"/>
        <w:bottom w:val="nil"/>
        <w:right w:val="nil"/>
        <w:between w:val="nil"/>
      </w:pBdr>
      <w:tabs>
        <w:tab w:val="center" w:pos="4252"/>
        <w:tab w:val="right" w:pos="8504"/>
      </w:tabs>
      <w:jc w:val="center"/>
      <w:rPr>
        <w:b/>
        <w:bCs/>
      </w:rPr>
    </w:pPr>
    <w:r w:rsidRPr="00BA5FAD">
      <w:rPr>
        <w:b/>
        <w:bCs/>
      </w:rPr>
      <w:t xml:space="preserve">"POR LA CUAL SE DECIDE EL PROCEDIMIENTO ADMINISTRATIVO </w:t>
    </w:r>
  </w:p>
  <w:p w14:paraId="193DF2A2" w14:textId="77777777" w:rsidR="004F1929" w:rsidRDefault="00BA5FAD" w:rsidP="001714E6">
    <w:pPr>
      <w:pBdr>
        <w:top w:val="nil"/>
        <w:left w:val="nil"/>
        <w:bottom w:val="nil"/>
        <w:right w:val="nil"/>
        <w:between w:val="nil"/>
      </w:pBdr>
      <w:tabs>
        <w:tab w:val="center" w:pos="4252"/>
        <w:tab w:val="right" w:pos="8504"/>
      </w:tabs>
      <w:jc w:val="center"/>
      <w:rPr>
        <w:b/>
        <w:bCs/>
      </w:rPr>
    </w:pPr>
    <w:r w:rsidRPr="00BA5FAD">
      <w:rPr>
        <w:b/>
        <w:bCs/>
      </w:rPr>
      <w:t xml:space="preserve">SACIONATORIO CONTRACTUAL ADELANTADO CON OCASIÓN DEL </w:t>
    </w:r>
  </w:p>
  <w:p w14:paraId="595A19C3" w14:textId="022D2701" w:rsidR="00FF6885" w:rsidRPr="00BA5FAD" w:rsidRDefault="00BA5FAD" w:rsidP="001714E6">
    <w:pPr>
      <w:pBdr>
        <w:top w:val="nil"/>
        <w:left w:val="nil"/>
        <w:bottom w:val="nil"/>
        <w:right w:val="nil"/>
        <w:between w:val="nil"/>
      </w:pBdr>
      <w:tabs>
        <w:tab w:val="center" w:pos="4252"/>
        <w:tab w:val="right" w:pos="8504"/>
      </w:tabs>
      <w:jc w:val="center"/>
      <w:rPr>
        <w:rFonts w:ascii="Garamond" w:hAnsi="Garamond"/>
        <w:b/>
        <w:bCs/>
        <w:sz w:val="22"/>
        <w:szCs w:val="22"/>
      </w:rPr>
    </w:pPr>
    <w:r w:rsidRPr="00BA5FAD">
      <w:rPr>
        <w:b/>
        <w:bCs/>
      </w:rPr>
      <w:t>PRESUNTO INCUMPLIMIENTO DEL CONTRATO DE OBRA PÚBLICA No. COP-859-2023."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353A3"/>
    <w:multiLevelType w:val="multilevel"/>
    <w:tmpl w:val="B9D81D7C"/>
    <w:lvl w:ilvl="0">
      <w:start w:val="1"/>
      <w:numFmt w:val="decimal"/>
      <w:lvlText w:val="%1."/>
      <w:lvlJc w:val="left"/>
      <w:pPr>
        <w:tabs>
          <w:tab w:val="num" w:pos="16020"/>
        </w:tabs>
        <w:ind w:left="16020" w:hanging="360"/>
      </w:pPr>
    </w:lvl>
    <w:lvl w:ilvl="1" w:tentative="1">
      <w:start w:val="1"/>
      <w:numFmt w:val="decimal"/>
      <w:lvlText w:val="%2."/>
      <w:lvlJc w:val="left"/>
      <w:pPr>
        <w:tabs>
          <w:tab w:val="num" w:pos="16740"/>
        </w:tabs>
        <w:ind w:left="16740" w:hanging="360"/>
      </w:pPr>
    </w:lvl>
    <w:lvl w:ilvl="2" w:tentative="1">
      <w:start w:val="1"/>
      <w:numFmt w:val="decimal"/>
      <w:lvlText w:val="%3."/>
      <w:lvlJc w:val="left"/>
      <w:pPr>
        <w:tabs>
          <w:tab w:val="num" w:pos="17460"/>
        </w:tabs>
        <w:ind w:left="17460" w:hanging="360"/>
      </w:pPr>
    </w:lvl>
    <w:lvl w:ilvl="3" w:tentative="1">
      <w:start w:val="1"/>
      <w:numFmt w:val="decimal"/>
      <w:lvlText w:val="%4."/>
      <w:lvlJc w:val="left"/>
      <w:pPr>
        <w:tabs>
          <w:tab w:val="num" w:pos="18180"/>
        </w:tabs>
        <w:ind w:left="18180" w:hanging="360"/>
      </w:pPr>
    </w:lvl>
    <w:lvl w:ilvl="4" w:tentative="1">
      <w:start w:val="1"/>
      <w:numFmt w:val="decimal"/>
      <w:lvlText w:val="%5."/>
      <w:lvlJc w:val="left"/>
      <w:pPr>
        <w:tabs>
          <w:tab w:val="num" w:pos="18900"/>
        </w:tabs>
        <w:ind w:left="18900" w:hanging="360"/>
      </w:pPr>
    </w:lvl>
    <w:lvl w:ilvl="5" w:tentative="1">
      <w:start w:val="1"/>
      <w:numFmt w:val="decimal"/>
      <w:lvlText w:val="%6."/>
      <w:lvlJc w:val="left"/>
      <w:pPr>
        <w:tabs>
          <w:tab w:val="num" w:pos="19620"/>
        </w:tabs>
        <w:ind w:left="19620" w:hanging="360"/>
      </w:pPr>
    </w:lvl>
    <w:lvl w:ilvl="6" w:tentative="1">
      <w:start w:val="1"/>
      <w:numFmt w:val="decimal"/>
      <w:lvlText w:val="%7."/>
      <w:lvlJc w:val="left"/>
      <w:pPr>
        <w:tabs>
          <w:tab w:val="num" w:pos="20340"/>
        </w:tabs>
        <w:ind w:left="20340" w:hanging="360"/>
      </w:pPr>
    </w:lvl>
    <w:lvl w:ilvl="7" w:tentative="1">
      <w:start w:val="1"/>
      <w:numFmt w:val="decimal"/>
      <w:lvlText w:val="%8."/>
      <w:lvlJc w:val="left"/>
      <w:pPr>
        <w:tabs>
          <w:tab w:val="num" w:pos="21060"/>
        </w:tabs>
        <w:ind w:left="21060" w:hanging="360"/>
      </w:pPr>
    </w:lvl>
    <w:lvl w:ilvl="8" w:tentative="1">
      <w:start w:val="1"/>
      <w:numFmt w:val="decimal"/>
      <w:lvlText w:val="%9."/>
      <w:lvlJc w:val="left"/>
      <w:pPr>
        <w:tabs>
          <w:tab w:val="num" w:pos="21780"/>
        </w:tabs>
        <w:ind w:left="21780" w:hanging="360"/>
      </w:pPr>
    </w:lvl>
  </w:abstractNum>
  <w:abstractNum w:abstractNumId="1" w15:restartNumberingAfterBreak="0">
    <w:nsid w:val="085C5CB2"/>
    <w:multiLevelType w:val="multilevel"/>
    <w:tmpl w:val="D5E44D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92A4A1A"/>
    <w:multiLevelType w:val="multilevel"/>
    <w:tmpl w:val="AE021132"/>
    <w:lvl w:ilvl="0">
      <w:start w:val="1"/>
      <w:numFmt w:val="decimal"/>
      <w:lvlText w:val="%1."/>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170997"/>
    <w:multiLevelType w:val="multilevel"/>
    <w:tmpl w:val="2D161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8D4A6C"/>
    <w:multiLevelType w:val="hybridMultilevel"/>
    <w:tmpl w:val="997CC762"/>
    <w:lvl w:ilvl="0" w:tplc="863C17B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196458D8"/>
    <w:multiLevelType w:val="hybridMultilevel"/>
    <w:tmpl w:val="1D3CEA8A"/>
    <w:lvl w:ilvl="0" w:tplc="E676CCC4">
      <w:start w:val="1"/>
      <w:numFmt w:val="decimal"/>
      <w:lvlText w:val="%1."/>
      <w:lvlJc w:val="left"/>
      <w:pPr>
        <w:ind w:left="720" w:hanging="360"/>
      </w:pPr>
      <w:rPr>
        <w:rFonts w:ascii="CenturyGothic-Bold" w:hAnsi="CenturyGothic-Bold" w:cs="CenturyGothic-Bold"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865D3F"/>
    <w:multiLevelType w:val="multilevel"/>
    <w:tmpl w:val="F2B6E2C2"/>
    <w:lvl w:ilvl="0">
      <w:start w:val="1"/>
      <w:numFmt w:val="upperRoman"/>
      <w:lvlText w:val="%1."/>
      <w:lvlJc w:val="left"/>
      <w:pPr>
        <w:ind w:left="720" w:hanging="720"/>
      </w:pPr>
      <w:rPr>
        <w:rFonts w:hint="default"/>
        <w:color w:val="000000" w:themeColor="text1"/>
        <w:sz w:val="32"/>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CE40560"/>
    <w:multiLevelType w:val="hybridMultilevel"/>
    <w:tmpl w:val="94588FBE"/>
    <w:lvl w:ilvl="0" w:tplc="E844053E">
      <w:start w:val="1"/>
      <w:numFmt w:val="lowerLetter"/>
      <w:lvlText w:val="%1."/>
      <w:lvlJc w:val="left"/>
      <w:pPr>
        <w:ind w:left="720" w:hanging="360"/>
      </w:pPr>
      <w:rPr>
        <w:rFonts w:ascii="CenturyGothic-Bold" w:hAnsi="CenturyGothic-Bold" w:cs="CenturyGothic-Bold"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753C5B"/>
    <w:multiLevelType w:val="hybridMultilevel"/>
    <w:tmpl w:val="6F46559C"/>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22E266F0"/>
    <w:multiLevelType w:val="multilevel"/>
    <w:tmpl w:val="A9D6E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27CDB9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BDF577C"/>
    <w:multiLevelType w:val="hybridMultilevel"/>
    <w:tmpl w:val="E550ABEE"/>
    <w:lvl w:ilvl="0" w:tplc="858E1E3A">
      <w:start w:val="1"/>
      <w:numFmt w:val="decimal"/>
      <w:lvlText w:val="%1."/>
      <w:lvlJc w:val="left"/>
      <w:pPr>
        <w:ind w:left="1046" w:hanging="281"/>
      </w:pPr>
      <w:rPr>
        <w:rFonts w:ascii="Times New Roman" w:eastAsia="Times New Roman" w:hAnsi="Times New Roman" w:cs="Times New Roman" w:hint="default"/>
        <w:b/>
        <w:bCs/>
        <w:i w:val="0"/>
        <w:iCs w:val="0"/>
        <w:spacing w:val="0"/>
        <w:w w:val="94"/>
        <w:sz w:val="22"/>
        <w:szCs w:val="22"/>
        <w:lang w:val="es-ES" w:eastAsia="en-US" w:bidi="ar-SA"/>
      </w:rPr>
    </w:lvl>
    <w:lvl w:ilvl="1" w:tplc="240A000D">
      <w:start w:val="1"/>
      <w:numFmt w:val="bullet"/>
      <w:lvlText w:val=""/>
      <w:lvlJc w:val="left"/>
      <w:pPr>
        <w:ind w:left="1486" w:hanging="360"/>
      </w:pPr>
      <w:rPr>
        <w:rFonts w:ascii="Wingdings" w:hAnsi="Wingdings" w:hint="default"/>
        <w:b w:val="0"/>
        <w:bCs w:val="0"/>
        <w:i w:val="0"/>
        <w:iCs w:val="0"/>
        <w:spacing w:val="0"/>
        <w:w w:val="100"/>
        <w:sz w:val="22"/>
        <w:szCs w:val="22"/>
        <w:lang w:val="es-ES" w:eastAsia="en-US" w:bidi="ar-SA"/>
      </w:rPr>
    </w:lvl>
    <w:lvl w:ilvl="2" w:tplc="60726B34">
      <w:numFmt w:val="bullet"/>
      <w:lvlText w:val="•"/>
      <w:lvlJc w:val="left"/>
      <w:pPr>
        <w:ind w:left="2435" w:hanging="360"/>
      </w:pPr>
      <w:rPr>
        <w:rFonts w:hint="default"/>
        <w:lang w:val="es-ES" w:eastAsia="en-US" w:bidi="ar-SA"/>
      </w:rPr>
    </w:lvl>
    <w:lvl w:ilvl="3" w:tplc="3BA0D7D0">
      <w:numFmt w:val="bullet"/>
      <w:lvlText w:val="•"/>
      <w:lvlJc w:val="left"/>
      <w:pPr>
        <w:ind w:left="3391" w:hanging="360"/>
      </w:pPr>
      <w:rPr>
        <w:rFonts w:hint="default"/>
        <w:lang w:val="es-ES" w:eastAsia="en-US" w:bidi="ar-SA"/>
      </w:rPr>
    </w:lvl>
    <w:lvl w:ilvl="4" w:tplc="DDC4419A">
      <w:numFmt w:val="bullet"/>
      <w:lvlText w:val="•"/>
      <w:lvlJc w:val="left"/>
      <w:pPr>
        <w:ind w:left="4346" w:hanging="360"/>
      </w:pPr>
      <w:rPr>
        <w:rFonts w:hint="default"/>
        <w:lang w:val="es-ES" w:eastAsia="en-US" w:bidi="ar-SA"/>
      </w:rPr>
    </w:lvl>
    <w:lvl w:ilvl="5" w:tplc="28E4210C">
      <w:numFmt w:val="bullet"/>
      <w:lvlText w:val="•"/>
      <w:lvlJc w:val="left"/>
      <w:pPr>
        <w:ind w:left="5302" w:hanging="360"/>
      </w:pPr>
      <w:rPr>
        <w:rFonts w:hint="default"/>
        <w:lang w:val="es-ES" w:eastAsia="en-US" w:bidi="ar-SA"/>
      </w:rPr>
    </w:lvl>
    <w:lvl w:ilvl="6" w:tplc="0BE243D8">
      <w:numFmt w:val="bullet"/>
      <w:lvlText w:val="•"/>
      <w:lvlJc w:val="left"/>
      <w:pPr>
        <w:ind w:left="6257" w:hanging="360"/>
      </w:pPr>
      <w:rPr>
        <w:rFonts w:hint="default"/>
        <w:lang w:val="es-ES" w:eastAsia="en-US" w:bidi="ar-SA"/>
      </w:rPr>
    </w:lvl>
    <w:lvl w:ilvl="7" w:tplc="0D060A18">
      <w:numFmt w:val="bullet"/>
      <w:lvlText w:val="•"/>
      <w:lvlJc w:val="left"/>
      <w:pPr>
        <w:ind w:left="7213" w:hanging="360"/>
      </w:pPr>
      <w:rPr>
        <w:rFonts w:hint="default"/>
        <w:lang w:val="es-ES" w:eastAsia="en-US" w:bidi="ar-SA"/>
      </w:rPr>
    </w:lvl>
    <w:lvl w:ilvl="8" w:tplc="A78071C0">
      <w:numFmt w:val="bullet"/>
      <w:lvlText w:val="•"/>
      <w:lvlJc w:val="left"/>
      <w:pPr>
        <w:ind w:left="8168" w:hanging="360"/>
      </w:pPr>
      <w:rPr>
        <w:rFonts w:hint="default"/>
        <w:lang w:val="es-ES" w:eastAsia="en-US" w:bidi="ar-SA"/>
      </w:rPr>
    </w:lvl>
  </w:abstractNum>
  <w:abstractNum w:abstractNumId="15" w15:restartNumberingAfterBreak="0">
    <w:nsid w:val="2C55698F"/>
    <w:multiLevelType w:val="hybridMultilevel"/>
    <w:tmpl w:val="1DF254BC"/>
    <w:lvl w:ilvl="0" w:tplc="1E6EEB28">
      <w:start w:val="1"/>
      <w:numFmt w:val="lowerRoman"/>
      <w:lvlText w:val="%1."/>
      <w:lvlJc w:val="left"/>
      <w:pPr>
        <w:ind w:left="1080" w:hanging="720"/>
      </w:pPr>
      <w:rPr>
        <w:rFonts w:hint="default"/>
        <w:sz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FE34B5C"/>
    <w:multiLevelType w:val="hybridMultilevel"/>
    <w:tmpl w:val="170EDF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66E7E2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9693288"/>
    <w:multiLevelType w:val="hybridMultilevel"/>
    <w:tmpl w:val="B23AF4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B2839E7"/>
    <w:multiLevelType w:val="hybridMultilevel"/>
    <w:tmpl w:val="DFB60904"/>
    <w:lvl w:ilvl="0" w:tplc="240A0001">
      <w:start w:val="1"/>
      <w:numFmt w:val="bullet"/>
      <w:lvlText w:val=""/>
      <w:lvlJc w:val="left"/>
      <w:pPr>
        <w:ind w:left="720" w:hanging="360"/>
      </w:pPr>
      <w:rPr>
        <w:rFonts w:ascii="Symbol" w:eastAsia="Times New Roman"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3F47584F"/>
    <w:multiLevelType w:val="multilevel"/>
    <w:tmpl w:val="3D344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4832FB"/>
    <w:multiLevelType w:val="hybridMultilevel"/>
    <w:tmpl w:val="ADE0F87E"/>
    <w:lvl w:ilvl="0" w:tplc="94308ABE">
      <w:numFmt w:val="bullet"/>
      <w:lvlText w:val="-"/>
      <w:lvlJc w:val="left"/>
      <w:pPr>
        <w:ind w:left="720" w:hanging="360"/>
      </w:pPr>
      <w:rPr>
        <w:rFonts w:ascii="Garamond" w:eastAsia="Times New Roman"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9E46F1B"/>
    <w:multiLevelType w:val="hybridMultilevel"/>
    <w:tmpl w:val="45BEFD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02D2343"/>
    <w:multiLevelType w:val="hybridMultilevel"/>
    <w:tmpl w:val="7D2C982C"/>
    <w:lvl w:ilvl="0" w:tplc="240A000F">
      <w:start w:val="1"/>
      <w:numFmt w:val="decimal"/>
      <w:lvlText w:val="%1."/>
      <w:lvlJc w:val="left"/>
      <w:pPr>
        <w:ind w:left="803" w:hanging="360"/>
      </w:pPr>
    </w:lvl>
    <w:lvl w:ilvl="1" w:tplc="240A0019" w:tentative="1">
      <w:start w:val="1"/>
      <w:numFmt w:val="lowerLetter"/>
      <w:lvlText w:val="%2."/>
      <w:lvlJc w:val="left"/>
      <w:pPr>
        <w:ind w:left="1523" w:hanging="360"/>
      </w:pPr>
    </w:lvl>
    <w:lvl w:ilvl="2" w:tplc="240A001B" w:tentative="1">
      <w:start w:val="1"/>
      <w:numFmt w:val="lowerRoman"/>
      <w:lvlText w:val="%3."/>
      <w:lvlJc w:val="right"/>
      <w:pPr>
        <w:ind w:left="2243" w:hanging="180"/>
      </w:pPr>
    </w:lvl>
    <w:lvl w:ilvl="3" w:tplc="240A000F" w:tentative="1">
      <w:start w:val="1"/>
      <w:numFmt w:val="decimal"/>
      <w:lvlText w:val="%4."/>
      <w:lvlJc w:val="left"/>
      <w:pPr>
        <w:ind w:left="2963" w:hanging="360"/>
      </w:pPr>
    </w:lvl>
    <w:lvl w:ilvl="4" w:tplc="240A0019" w:tentative="1">
      <w:start w:val="1"/>
      <w:numFmt w:val="lowerLetter"/>
      <w:lvlText w:val="%5."/>
      <w:lvlJc w:val="left"/>
      <w:pPr>
        <w:ind w:left="3683" w:hanging="360"/>
      </w:pPr>
    </w:lvl>
    <w:lvl w:ilvl="5" w:tplc="240A001B" w:tentative="1">
      <w:start w:val="1"/>
      <w:numFmt w:val="lowerRoman"/>
      <w:lvlText w:val="%6."/>
      <w:lvlJc w:val="right"/>
      <w:pPr>
        <w:ind w:left="4403" w:hanging="180"/>
      </w:pPr>
    </w:lvl>
    <w:lvl w:ilvl="6" w:tplc="240A000F" w:tentative="1">
      <w:start w:val="1"/>
      <w:numFmt w:val="decimal"/>
      <w:lvlText w:val="%7."/>
      <w:lvlJc w:val="left"/>
      <w:pPr>
        <w:ind w:left="5123" w:hanging="360"/>
      </w:pPr>
    </w:lvl>
    <w:lvl w:ilvl="7" w:tplc="240A0019" w:tentative="1">
      <w:start w:val="1"/>
      <w:numFmt w:val="lowerLetter"/>
      <w:lvlText w:val="%8."/>
      <w:lvlJc w:val="left"/>
      <w:pPr>
        <w:ind w:left="5843" w:hanging="360"/>
      </w:pPr>
    </w:lvl>
    <w:lvl w:ilvl="8" w:tplc="240A001B" w:tentative="1">
      <w:start w:val="1"/>
      <w:numFmt w:val="lowerRoman"/>
      <w:lvlText w:val="%9."/>
      <w:lvlJc w:val="right"/>
      <w:pPr>
        <w:ind w:left="6563" w:hanging="180"/>
      </w:pPr>
    </w:lvl>
  </w:abstractNum>
  <w:abstractNum w:abstractNumId="25"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A3FA2A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62DE3161"/>
    <w:multiLevelType w:val="hybridMultilevel"/>
    <w:tmpl w:val="A53C78BE"/>
    <w:lvl w:ilvl="0" w:tplc="858E1E3A">
      <w:start w:val="1"/>
      <w:numFmt w:val="decimal"/>
      <w:lvlText w:val="%1."/>
      <w:lvlJc w:val="left"/>
      <w:pPr>
        <w:ind w:left="1046" w:hanging="281"/>
      </w:pPr>
      <w:rPr>
        <w:rFonts w:ascii="Times New Roman" w:eastAsia="Times New Roman" w:hAnsi="Times New Roman" w:cs="Times New Roman" w:hint="default"/>
        <w:b/>
        <w:bCs/>
        <w:i w:val="0"/>
        <w:iCs w:val="0"/>
        <w:spacing w:val="0"/>
        <w:w w:val="94"/>
        <w:sz w:val="22"/>
        <w:szCs w:val="22"/>
        <w:lang w:val="es-ES" w:eastAsia="en-US" w:bidi="ar-SA"/>
      </w:rPr>
    </w:lvl>
    <w:lvl w:ilvl="1" w:tplc="F9C0DA76">
      <w:numFmt w:val="bullet"/>
      <w:lvlText w:val=""/>
      <w:lvlJc w:val="left"/>
      <w:pPr>
        <w:ind w:left="1486" w:hanging="360"/>
      </w:pPr>
      <w:rPr>
        <w:rFonts w:ascii="Symbol" w:eastAsia="Symbol" w:hAnsi="Symbol" w:cs="Symbol" w:hint="default"/>
        <w:b w:val="0"/>
        <w:bCs w:val="0"/>
        <w:i w:val="0"/>
        <w:iCs w:val="0"/>
        <w:spacing w:val="0"/>
        <w:w w:val="100"/>
        <w:sz w:val="22"/>
        <w:szCs w:val="22"/>
        <w:lang w:val="es-ES" w:eastAsia="en-US" w:bidi="ar-SA"/>
      </w:rPr>
    </w:lvl>
    <w:lvl w:ilvl="2" w:tplc="60726B34">
      <w:numFmt w:val="bullet"/>
      <w:lvlText w:val="•"/>
      <w:lvlJc w:val="left"/>
      <w:pPr>
        <w:ind w:left="2435" w:hanging="360"/>
      </w:pPr>
      <w:rPr>
        <w:rFonts w:hint="default"/>
        <w:lang w:val="es-ES" w:eastAsia="en-US" w:bidi="ar-SA"/>
      </w:rPr>
    </w:lvl>
    <w:lvl w:ilvl="3" w:tplc="3BA0D7D0">
      <w:numFmt w:val="bullet"/>
      <w:lvlText w:val="•"/>
      <w:lvlJc w:val="left"/>
      <w:pPr>
        <w:ind w:left="3391" w:hanging="360"/>
      </w:pPr>
      <w:rPr>
        <w:rFonts w:hint="default"/>
        <w:lang w:val="es-ES" w:eastAsia="en-US" w:bidi="ar-SA"/>
      </w:rPr>
    </w:lvl>
    <w:lvl w:ilvl="4" w:tplc="DDC4419A">
      <w:numFmt w:val="bullet"/>
      <w:lvlText w:val="•"/>
      <w:lvlJc w:val="left"/>
      <w:pPr>
        <w:ind w:left="4346" w:hanging="360"/>
      </w:pPr>
      <w:rPr>
        <w:rFonts w:hint="default"/>
        <w:lang w:val="es-ES" w:eastAsia="en-US" w:bidi="ar-SA"/>
      </w:rPr>
    </w:lvl>
    <w:lvl w:ilvl="5" w:tplc="28E4210C">
      <w:numFmt w:val="bullet"/>
      <w:lvlText w:val="•"/>
      <w:lvlJc w:val="left"/>
      <w:pPr>
        <w:ind w:left="5302" w:hanging="360"/>
      </w:pPr>
      <w:rPr>
        <w:rFonts w:hint="default"/>
        <w:lang w:val="es-ES" w:eastAsia="en-US" w:bidi="ar-SA"/>
      </w:rPr>
    </w:lvl>
    <w:lvl w:ilvl="6" w:tplc="0BE243D8">
      <w:numFmt w:val="bullet"/>
      <w:lvlText w:val="•"/>
      <w:lvlJc w:val="left"/>
      <w:pPr>
        <w:ind w:left="6257" w:hanging="360"/>
      </w:pPr>
      <w:rPr>
        <w:rFonts w:hint="default"/>
        <w:lang w:val="es-ES" w:eastAsia="en-US" w:bidi="ar-SA"/>
      </w:rPr>
    </w:lvl>
    <w:lvl w:ilvl="7" w:tplc="0D060A18">
      <w:numFmt w:val="bullet"/>
      <w:lvlText w:val="•"/>
      <w:lvlJc w:val="left"/>
      <w:pPr>
        <w:ind w:left="7213" w:hanging="360"/>
      </w:pPr>
      <w:rPr>
        <w:rFonts w:hint="default"/>
        <w:lang w:val="es-ES" w:eastAsia="en-US" w:bidi="ar-SA"/>
      </w:rPr>
    </w:lvl>
    <w:lvl w:ilvl="8" w:tplc="A78071C0">
      <w:numFmt w:val="bullet"/>
      <w:lvlText w:val="•"/>
      <w:lvlJc w:val="left"/>
      <w:pPr>
        <w:ind w:left="8168" w:hanging="360"/>
      </w:pPr>
      <w:rPr>
        <w:rFonts w:hint="default"/>
        <w:lang w:val="es-ES" w:eastAsia="en-US" w:bidi="ar-SA"/>
      </w:rPr>
    </w:lvl>
  </w:abstractNum>
  <w:abstractNum w:abstractNumId="28" w15:restartNumberingAfterBreak="0">
    <w:nsid w:val="69006142"/>
    <w:multiLevelType w:val="multilevel"/>
    <w:tmpl w:val="E7183A9A"/>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9"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736F2B5E"/>
    <w:multiLevelType w:val="multilevel"/>
    <w:tmpl w:val="DB12C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73BB2D99"/>
    <w:multiLevelType w:val="multilevel"/>
    <w:tmpl w:val="E4D42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A7C2843"/>
    <w:multiLevelType w:val="multilevel"/>
    <w:tmpl w:val="ABBCE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7E572E6D"/>
    <w:multiLevelType w:val="multilevel"/>
    <w:tmpl w:val="71681C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5"/>
  </w:num>
  <w:num w:numId="3">
    <w:abstractNumId w:val="12"/>
  </w:num>
  <w:num w:numId="4">
    <w:abstractNumId w:val="25"/>
  </w:num>
  <w:num w:numId="5">
    <w:abstractNumId w:val="11"/>
  </w:num>
  <w:num w:numId="6">
    <w:abstractNumId w:val="31"/>
  </w:num>
  <w:num w:numId="7">
    <w:abstractNumId w:val="29"/>
  </w:num>
  <w:num w:numId="8">
    <w:abstractNumId w:val="2"/>
  </w:num>
  <w:num w:numId="9">
    <w:abstractNumId w:val="1"/>
  </w:num>
  <w:num w:numId="10">
    <w:abstractNumId w:val="33"/>
  </w:num>
  <w:num w:numId="11">
    <w:abstractNumId w:val="28"/>
  </w:num>
  <w:num w:numId="12">
    <w:abstractNumId w:val="30"/>
  </w:num>
  <w:num w:numId="13">
    <w:abstractNumId w:val="16"/>
  </w:num>
  <w:num w:numId="14">
    <w:abstractNumId w:val="24"/>
  </w:num>
  <w:num w:numId="15">
    <w:abstractNumId w:val="23"/>
  </w:num>
  <w:num w:numId="16">
    <w:abstractNumId w:val="22"/>
  </w:num>
  <w:num w:numId="17">
    <w:abstractNumId w:val="18"/>
  </w:num>
  <w:num w:numId="18">
    <w:abstractNumId w:val="4"/>
  </w:num>
  <w:num w:numId="19">
    <w:abstractNumId w:val="19"/>
  </w:num>
  <w:num w:numId="20">
    <w:abstractNumId w:val="9"/>
  </w:num>
  <w:num w:numId="21">
    <w:abstractNumId w:val="14"/>
  </w:num>
  <w:num w:numId="22">
    <w:abstractNumId w:val="27"/>
  </w:num>
  <w:num w:numId="23">
    <w:abstractNumId w:val="17"/>
  </w:num>
  <w:num w:numId="24">
    <w:abstractNumId w:val="26"/>
  </w:num>
  <w:num w:numId="25">
    <w:abstractNumId w:val="13"/>
  </w:num>
  <w:num w:numId="26">
    <w:abstractNumId w:val="21"/>
  </w:num>
  <w:num w:numId="27">
    <w:abstractNumId w:val="34"/>
  </w:num>
  <w:num w:numId="28">
    <w:abstractNumId w:val="6"/>
  </w:num>
  <w:num w:numId="29">
    <w:abstractNumId w:val="8"/>
  </w:num>
  <w:num w:numId="30">
    <w:abstractNumId w:val="15"/>
  </w:num>
  <w:num w:numId="31">
    <w:abstractNumId w:val="7"/>
  </w:num>
  <w:num w:numId="32">
    <w:abstractNumId w:val="10"/>
  </w:num>
  <w:num w:numId="33">
    <w:abstractNumId w:val="3"/>
  </w:num>
  <w:num w:numId="34">
    <w:abstractNumId w:val="0"/>
  </w:num>
  <w:num w:numId="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h Johana Roa Gutierrez">
    <w15:presenceInfo w15:providerId="AD" w15:userId="S::edith.roa@gobiernobogota.gov.co::6ee9f1a7-5081-42e6-bcce-a30c60ed1d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136DB"/>
    <w:rsid w:val="000174A2"/>
    <w:rsid w:val="00047BA4"/>
    <w:rsid w:val="000578B2"/>
    <w:rsid w:val="00071A2C"/>
    <w:rsid w:val="0008764C"/>
    <w:rsid w:val="0009389B"/>
    <w:rsid w:val="000B0CD5"/>
    <w:rsid w:val="000D0677"/>
    <w:rsid w:val="000D3FFA"/>
    <w:rsid w:val="000E0364"/>
    <w:rsid w:val="00102731"/>
    <w:rsid w:val="001049B4"/>
    <w:rsid w:val="00104AA2"/>
    <w:rsid w:val="001714E6"/>
    <w:rsid w:val="00176C72"/>
    <w:rsid w:val="00187B72"/>
    <w:rsid w:val="001942DF"/>
    <w:rsid w:val="001B289F"/>
    <w:rsid w:val="001F1BA2"/>
    <w:rsid w:val="001F47CA"/>
    <w:rsid w:val="00200812"/>
    <w:rsid w:val="00215385"/>
    <w:rsid w:val="00216CCB"/>
    <w:rsid w:val="002304F8"/>
    <w:rsid w:val="002369FB"/>
    <w:rsid w:val="00252F0C"/>
    <w:rsid w:val="0028408E"/>
    <w:rsid w:val="002941C4"/>
    <w:rsid w:val="002952F9"/>
    <w:rsid w:val="002A5723"/>
    <w:rsid w:val="002B3132"/>
    <w:rsid w:val="002E1EAC"/>
    <w:rsid w:val="002F47C3"/>
    <w:rsid w:val="00306F8E"/>
    <w:rsid w:val="00387180"/>
    <w:rsid w:val="00396E35"/>
    <w:rsid w:val="003B12B2"/>
    <w:rsid w:val="003D4338"/>
    <w:rsid w:val="003E3C1D"/>
    <w:rsid w:val="003E6A25"/>
    <w:rsid w:val="003F475B"/>
    <w:rsid w:val="00401956"/>
    <w:rsid w:val="00403795"/>
    <w:rsid w:val="00435DCA"/>
    <w:rsid w:val="00483BE4"/>
    <w:rsid w:val="004B2CC6"/>
    <w:rsid w:val="004D2E31"/>
    <w:rsid w:val="004D5153"/>
    <w:rsid w:val="004E06DB"/>
    <w:rsid w:val="004E5186"/>
    <w:rsid w:val="004F0DED"/>
    <w:rsid w:val="004F1929"/>
    <w:rsid w:val="004F6FE0"/>
    <w:rsid w:val="00522C27"/>
    <w:rsid w:val="005361CA"/>
    <w:rsid w:val="00552EDA"/>
    <w:rsid w:val="005559EA"/>
    <w:rsid w:val="005700CB"/>
    <w:rsid w:val="00577F0E"/>
    <w:rsid w:val="00595F74"/>
    <w:rsid w:val="005C020F"/>
    <w:rsid w:val="005D3F10"/>
    <w:rsid w:val="00601354"/>
    <w:rsid w:val="00613529"/>
    <w:rsid w:val="00615C1D"/>
    <w:rsid w:val="006245F0"/>
    <w:rsid w:val="006323AF"/>
    <w:rsid w:val="006721EB"/>
    <w:rsid w:val="00694F8D"/>
    <w:rsid w:val="00696728"/>
    <w:rsid w:val="006C56D0"/>
    <w:rsid w:val="006F4053"/>
    <w:rsid w:val="007063F1"/>
    <w:rsid w:val="00707C3F"/>
    <w:rsid w:val="00715927"/>
    <w:rsid w:val="007379E1"/>
    <w:rsid w:val="00774497"/>
    <w:rsid w:val="0078327C"/>
    <w:rsid w:val="0078366B"/>
    <w:rsid w:val="007936EE"/>
    <w:rsid w:val="007A03E0"/>
    <w:rsid w:val="007C04EF"/>
    <w:rsid w:val="007C11DC"/>
    <w:rsid w:val="007D018B"/>
    <w:rsid w:val="00801051"/>
    <w:rsid w:val="0081342B"/>
    <w:rsid w:val="00824EA9"/>
    <w:rsid w:val="00830B30"/>
    <w:rsid w:val="008340DD"/>
    <w:rsid w:val="00842437"/>
    <w:rsid w:val="00877F28"/>
    <w:rsid w:val="0088704C"/>
    <w:rsid w:val="008870A4"/>
    <w:rsid w:val="008906A3"/>
    <w:rsid w:val="008920CB"/>
    <w:rsid w:val="008A2B33"/>
    <w:rsid w:val="008B5231"/>
    <w:rsid w:val="008E00CD"/>
    <w:rsid w:val="00907979"/>
    <w:rsid w:val="00907BE8"/>
    <w:rsid w:val="009307EF"/>
    <w:rsid w:val="00946498"/>
    <w:rsid w:val="009503BD"/>
    <w:rsid w:val="00951262"/>
    <w:rsid w:val="00955383"/>
    <w:rsid w:val="00961F0D"/>
    <w:rsid w:val="0098140A"/>
    <w:rsid w:val="00991FAA"/>
    <w:rsid w:val="009A4B0F"/>
    <w:rsid w:val="009E1C70"/>
    <w:rsid w:val="009E72E1"/>
    <w:rsid w:val="009E77D2"/>
    <w:rsid w:val="00A03429"/>
    <w:rsid w:val="00A14097"/>
    <w:rsid w:val="00A172ED"/>
    <w:rsid w:val="00A5212E"/>
    <w:rsid w:val="00A5251C"/>
    <w:rsid w:val="00A671AD"/>
    <w:rsid w:val="00A7746E"/>
    <w:rsid w:val="00A90B41"/>
    <w:rsid w:val="00AB661A"/>
    <w:rsid w:val="00AD09C4"/>
    <w:rsid w:val="00B0795C"/>
    <w:rsid w:val="00B212E5"/>
    <w:rsid w:val="00B233B9"/>
    <w:rsid w:val="00B40960"/>
    <w:rsid w:val="00B46C64"/>
    <w:rsid w:val="00B47899"/>
    <w:rsid w:val="00B6300A"/>
    <w:rsid w:val="00B65F7E"/>
    <w:rsid w:val="00B75F17"/>
    <w:rsid w:val="00B8467F"/>
    <w:rsid w:val="00BA1B81"/>
    <w:rsid w:val="00BA5FAD"/>
    <w:rsid w:val="00BA642A"/>
    <w:rsid w:val="00BA741A"/>
    <w:rsid w:val="00BB0E4C"/>
    <w:rsid w:val="00BB2EF0"/>
    <w:rsid w:val="00BD7AA3"/>
    <w:rsid w:val="00BF0709"/>
    <w:rsid w:val="00C17428"/>
    <w:rsid w:val="00C427C6"/>
    <w:rsid w:val="00C46622"/>
    <w:rsid w:val="00C62CAB"/>
    <w:rsid w:val="00C93300"/>
    <w:rsid w:val="00C957E5"/>
    <w:rsid w:val="00CC6760"/>
    <w:rsid w:val="00CD3D94"/>
    <w:rsid w:val="00CD422F"/>
    <w:rsid w:val="00CE2228"/>
    <w:rsid w:val="00D10C80"/>
    <w:rsid w:val="00D25A77"/>
    <w:rsid w:val="00D34D75"/>
    <w:rsid w:val="00D35566"/>
    <w:rsid w:val="00D4271A"/>
    <w:rsid w:val="00D66319"/>
    <w:rsid w:val="00D7448C"/>
    <w:rsid w:val="00DB036C"/>
    <w:rsid w:val="00DD7AA2"/>
    <w:rsid w:val="00DE102B"/>
    <w:rsid w:val="00DE19C0"/>
    <w:rsid w:val="00E27E60"/>
    <w:rsid w:val="00E55CA5"/>
    <w:rsid w:val="00E65C5B"/>
    <w:rsid w:val="00E67B4F"/>
    <w:rsid w:val="00E77873"/>
    <w:rsid w:val="00E83B27"/>
    <w:rsid w:val="00E90ED6"/>
    <w:rsid w:val="00EB4998"/>
    <w:rsid w:val="00EB6DBB"/>
    <w:rsid w:val="00EC416A"/>
    <w:rsid w:val="00EE7BD1"/>
    <w:rsid w:val="00EF2862"/>
    <w:rsid w:val="00F00F9B"/>
    <w:rsid w:val="00F353DB"/>
    <w:rsid w:val="00F50905"/>
    <w:rsid w:val="00F715B8"/>
    <w:rsid w:val="00F72566"/>
    <w:rsid w:val="00F734A5"/>
    <w:rsid w:val="00F75945"/>
    <w:rsid w:val="00F84B53"/>
    <w:rsid w:val="00F85360"/>
    <w:rsid w:val="00F91582"/>
    <w:rsid w:val="00FB11D8"/>
    <w:rsid w:val="00FB48CC"/>
    <w:rsid w:val="00FC2F8C"/>
    <w:rsid w:val="00FD0CAA"/>
    <w:rsid w:val="00FD20EE"/>
    <w:rsid w:val="00FD25EC"/>
    <w:rsid w:val="00FD69E8"/>
    <w:rsid w:val="00FF6885"/>
    <w:rsid w:val="00FF74C7"/>
    <w:rsid w:val="17B3BB2A"/>
    <w:rsid w:val="4136FFDD"/>
    <w:rsid w:val="4C83BFB9"/>
    <w:rsid w:val="790C8C27"/>
    <w:rsid w:val="7E38D1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956D3"/>
  <w15:docId w15:val="{B1732E22-17A7-48F4-BAE3-043CAC57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B0F"/>
    <w:pPr>
      <w:autoSpaceDN/>
      <w:textAlignment w:val="auto"/>
    </w:pPr>
    <w:rPr>
      <w:rFonts w:eastAsia="Times New Roman" w:cs="Times New Roman"/>
      <w:sz w:val="24"/>
      <w:szCs w:val="24"/>
      <w:lang w:val="es-CO" w:eastAsia="es-CO"/>
    </w:rPr>
  </w:style>
  <w:style w:type="paragraph" w:styleId="Ttulo1">
    <w:name w:val="heading 1"/>
    <w:basedOn w:val="Normal"/>
    <w:next w:val="Normal"/>
    <w:pPr>
      <w:keepNext/>
      <w:keepLines/>
      <w:widowControl w:val="0"/>
      <w:suppressAutoHyphens/>
      <w:autoSpaceDN w:val="0"/>
      <w:spacing w:before="240"/>
      <w:textAlignment w:val="baseline"/>
      <w:outlineLvl w:val="0"/>
    </w:pPr>
    <w:rPr>
      <w:rFonts w:ascii="Calibri Light" w:hAnsi="Calibri Light" w:cs="Mangal"/>
      <w:color w:val="2F5496"/>
      <w:kern w:val="3"/>
      <w:sz w:val="32"/>
      <w:szCs w:val="29"/>
      <w:lang w:eastAsia="zh-CN" w:bidi="hi-IN"/>
    </w:rPr>
  </w:style>
  <w:style w:type="paragraph" w:styleId="Ttulo2">
    <w:name w:val="heading 2"/>
    <w:basedOn w:val="Encabezado2"/>
    <w:next w:val="Textbody"/>
    <w:uiPriority w:val="9"/>
    <w:qFormat/>
    <w:pPr>
      <w:spacing w:before="200" w:after="0"/>
      <w:outlineLvl w:val="1"/>
    </w:pPr>
    <w:rPr>
      <w:b/>
      <w:bCs/>
      <w:sz w:val="32"/>
      <w:szCs w:val="32"/>
    </w:rPr>
  </w:style>
  <w:style w:type="paragraph" w:styleId="Ttulo3">
    <w:name w:val="heading 3"/>
    <w:basedOn w:val="Normal"/>
    <w:next w:val="Normal"/>
    <w:pPr>
      <w:keepNext/>
      <w:keepLines/>
      <w:widowControl w:val="0"/>
      <w:suppressAutoHyphens/>
      <w:autoSpaceDN w:val="0"/>
      <w:spacing w:before="40"/>
      <w:textAlignment w:val="baseline"/>
      <w:outlineLvl w:val="2"/>
    </w:pPr>
    <w:rPr>
      <w:rFonts w:ascii="Calibri Light" w:hAnsi="Calibri Light" w:cs="Mangal"/>
      <w:color w:val="1F3763"/>
      <w:kern w:val="3"/>
      <w:szCs w:val="21"/>
      <w:lang w:eastAsia="zh-CN" w:bidi="hi-I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qFormat/>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uiPriority w:val="99"/>
    <w:pPr>
      <w:spacing w:before="280" w:after="280" w:line="240" w:lineRule="auto"/>
    </w:pPr>
    <w:rPr>
      <w:rFonts w:ascii="Times New Roman" w:eastAsia="Calibri" w:hAnsi="Times New Roman" w:cs="Times New Roman"/>
      <w:sz w:val="24"/>
      <w:szCs w:val="24"/>
    </w:rPr>
  </w:style>
  <w:style w:type="paragraph" w:customStyle="1" w:styleId="Default">
    <w:name w:val="Default"/>
    <w:link w:val="DefaultChar"/>
    <w:qForma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uiPriority w:val="1"/>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suppressAutoHyphens/>
      <w:autoSpaceDN w:val="0"/>
      <w:spacing w:after="120" w:line="276" w:lineRule="auto"/>
      <w:textAlignment w:val="baseline"/>
    </w:pPr>
    <w:rPr>
      <w:rFonts w:ascii="Calibri" w:eastAsia="Droid Sans" w:hAnsi="Calibri" w:cs="Calibri"/>
      <w:kern w:val="3"/>
      <w:sz w:val="22"/>
      <w:szCs w:val="22"/>
      <w:lang w:eastAsia="en-US"/>
    </w:rPr>
  </w:style>
  <w:style w:type="paragraph" w:styleId="Sangradetextonormal">
    <w:name w:val="Body Text Indent"/>
    <w:basedOn w:val="Normal"/>
    <w:pPr>
      <w:widowControl w:val="0"/>
      <w:suppressAutoHyphens/>
      <w:autoSpaceDN w:val="0"/>
      <w:spacing w:after="120"/>
      <w:ind w:left="283"/>
      <w:textAlignment w:val="baseline"/>
    </w:pPr>
    <w:rPr>
      <w:rFonts w:eastAsia="Droid Sans" w:cs="Mangal"/>
      <w:kern w:val="3"/>
      <w:szCs w:val="21"/>
      <w:lang w:eastAsia="zh-CN" w:bidi="hi-IN"/>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link w:val="PrrafodelistaCar"/>
    <w:uiPriority w:val="34"/>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uiPriority w:val="20"/>
    <w:qFormat/>
    <w:rPr>
      <w:i/>
      <w:iCs/>
    </w:rPr>
  </w:style>
  <w:style w:type="character" w:customStyle="1" w:styleId="Ttulo1Car">
    <w:name w:val="Título 1 Car"/>
    <w:basedOn w:val="Fuentedeprrafopredeter"/>
    <w:uiPriority w:val="9"/>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EncabezadoCar1">
    <w:name w:val="Encabezado Car1"/>
    <w:basedOn w:val="Fuentedeprrafopredeter"/>
    <w:rPr>
      <w:rFonts w:cs="Mangal"/>
      <w:szCs w:val="21"/>
    </w:rPr>
  </w:style>
  <w:style w:type="paragraph" w:styleId="Piedepgina">
    <w:name w:val="footer"/>
    <w:basedOn w:val="Normal"/>
    <w:pPr>
      <w:widowControl w:val="0"/>
      <w:tabs>
        <w:tab w:val="center" w:pos="4252"/>
        <w:tab w:val="right" w:pos="8504"/>
      </w:tabs>
      <w:suppressAutoHyphens/>
      <w:autoSpaceDN w:val="0"/>
      <w:textAlignment w:val="baseline"/>
    </w:pPr>
    <w:rPr>
      <w:rFonts w:eastAsia="Droid Sans" w:cs="Mangal"/>
      <w:kern w:val="3"/>
      <w:szCs w:val="21"/>
      <w:lang w:eastAsia="zh-CN" w:bidi="hi-IN"/>
    </w:rPr>
  </w:style>
  <w:style w:type="character" w:customStyle="1" w:styleId="PiedepginaCar1">
    <w:name w:val="Pie de página Car1"/>
    <w:basedOn w:val="Fuentedeprrafopredeter"/>
    <w:rPr>
      <w:rFonts w:cs="Mangal"/>
      <w:szCs w:val="21"/>
    </w:rPr>
  </w:style>
  <w:style w:type="paragraph" w:styleId="Cita">
    <w:name w:val="Quote"/>
    <w:basedOn w:val="Normal"/>
    <w:next w:val="Normal"/>
    <w:pPr>
      <w:widowControl w:val="0"/>
      <w:suppressAutoHyphens/>
      <w:autoSpaceDN w:val="0"/>
      <w:textAlignment w:val="baseline"/>
    </w:pPr>
    <w:rPr>
      <w:rFonts w:eastAsia="Droid Sans" w:cs="Mangal"/>
      <w:i/>
      <w:iCs/>
      <w:color w:val="000000"/>
      <w:kern w:val="3"/>
      <w:szCs w:val="21"/>
      <w:lang w:eastAsia="zh-CN" w:bidi="hi-IN"/>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suppressAutoHyphens/>
      <w:autoSpaceDN w:val="0"/>
      <w:jc w:val="both"/>
    </w:pPr>
    <w:rPr>
      <w:rFonts w:ascii="Arial" w:hAnsi="Arial" w:cs="Arial"/>
      <w:szCs w:val="20"/>
      <w:lang w:eastAsia="zh-CN"/>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basedOn w:val="Fuentedeprrafopredeter"/>
    <w:uiPriority w:val="99"/>
    <w:unhideWhenUsed/>
    <w:rsid w:val="00E83B27"/>
    <w:rPr>
      <w:color w:val="0563C1" w:themeColor="hyperlink"/>
      <w:u w:val="single"/>
    </w:rPr>
  </w:style>
  <w:style w:type="character" w:styleId="Hipervnculovisitado">
    <w:name w:val="FollowedHyperlink"/>
    <w:basedOn w:val="Fuentedeprrafopredeter"/>
    <w:uiPriority w:val="99"/>
    <w:semiHidden/>
    <w:unhideWhenUsed/>
    <w:rsid w:val="00E83B27"/>
    <w:rPr>
      <w:color w:val="954F72" w:themeColor="followedHyperlink"/>
      <w:u w:val="single"/>
    </w:rPr>
  </w:style>
  <w:style w:type="table" w:styleId="Tablaconcuadrcula">
    <w:name w:val="Table Grid"/>
    <w:basedOn w:val="Tablanormal"/>
    <w:uiPriority w:val="39"/>
    <w:rsid w:val="00601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 de nota al pie 2,Ref,de nota al pie,FC,Appel note de bas de p,f,4_G,16 Point,Superscript 6 Point,Texto nota al pie,Pie de Página,Texto de nota al pi,Nota de pie,Texto de nota al p,Footnote Reference Char3,Texto nota pie Car2,F,R"/>
    <w:link w:val="4GChar"/>
    <w:uiPriority w:val="99"/>
    <w:unhideWhenUsed/>
    <w:qFormat/>
    <w:rsid w:val="001714E6"/>
    <w:rPr>
      <w:vertAlign w:val="superscript"/>
    </w:rPr>
  </w:style>
  <w:style w:type="paragraph" w:styleId="Textonotapie">
    <w:name w:val="footnote text"/>
    <w:basedOn w:val="Normal"/>
    <w:link w:val="TextonotapieCar"/>
    <w:uiPriority w:val="99"/>
    <w:semiHidden/>
    <w:unhideWhenUsed/>
    <w:qFormat/>
    <w:rsid w:val="001714E6"/>
    <w:rPr>
      <w:rFonts w:ascii="Calibri" w:eastAsia="Calibri" w:hAnsi="Calibri"/>
      <w:sz w:val="20"/>
      <w:szCs w:val="20"/>
      <w:lang w:eastAsia="en-US"/>
    </w:rPr>
  </w:style>
  <w:style w:type="character" w:customStyle="1" w:styleId="TextonotapieCar">
    <w:name w:val="Texto nota pie Car"/>
    <w:basedOn w:val="Fuentedeprrafopredeter"/>
    <w:link w:val="Textonotapie"/>
    <w:uiPriority w:val="99"/>
    <w:semiHidden/>
    <w:qFormat/>
    <w:rsid w:val="001714E6"/>
    <w:rPr>
      <w:rFonts w:ascii="Calibri" w:eastAsia="Calibri" w:hAnsi="Calibri" w:cs="Times New Roman"/>
      <w:lang w:val="es-CO" w:eastAsia="en-US"/>
    </w:rPr>
  </w:style>
  <w:style w:type="character" w:customStyle="1" w:styleId="PrrafodelistaCar">
    <w:name w:val="Párrafo de lista Car"/>
    <w:link w:val="Prrafodelista"/>
    <w:uiPriority w:val="1"/>
    <w:qFormat/>
    <w:locked/>
    <w:rsid w:val="001714E6"/>
    <w:rPr>
      <w:rFonts w:ascii="Arial" w:eastAsia="Times New Roman" w:hAnsi="Arial" w:cs="Times New Roman"/>
      <w:b/>
      <w:color w:val="00000A"/>
      <w:kern w:val="3"/>
      <w:sz w:val="24"/>
      <w:lang w:eastAsia="ar-SA"/>
    </w:rPr>
  </w:style>
  <w:style w:type="character" w:customStyle="1" w:styleId="DefaultChar">
    <w:name w:val="Default Char"/>
    <w:link w:val="Default"/>
    <w:qFormat/>
    <w:locked/>
    <w:rsid w:val="001714E6"/>
    <w:rPr>
      <w:rFonts w:ascii="Arial" w:eastAsia="Times New Roman" w:hAnsi="Arial" w:cs="Arial"/>
      <w:color w:val="000000"/>
      <w:kern w:val="3"/>
      <w:sz w:val="24"/>
      <w:szCs w:val="24"/>
      <w:lang w:val="es-CO" w:eastAsia="zh-CN"/>
    </w:rPr>
  </w:style>
  <w:style w:type="character" w:customStyle="1" w:styleId="normaltextrun">
    <w:name w:val="normaltextrun"/>
    <w:basedOn w:val="Fuentedeprrafopredeter"/>
    <w:rsid w:val="00BB2EF0"/>
  </w:style>
  <w:style w:type="character" w:customStyle="1" w:styleId="eop">
    <w:name w:val="eop"/>
    <w:basedOn w:val="Fuentedeprrafopredeter"/>
    <w:rsid w:val="00BB2EF0"/>
  </w:style>
  <w:style w:type="character" w:styleId="Refdecomentario">
    <w:name w:val="annotation reference"/>
    <w:basedOn w:val="Fuentedeprrafopredeter"/>
    <w:uiPriority w:val="99"/>
    <w:semiHidden/>
    <w:unhideWhenUsed/>
    <w:rsid w:val="00F00F9B"/>
    <w:rPr>
      <w:sz w:val="16"/>
      <w:szCs w:val="16"/>
    </w:rPr>
  </w:style>
  <w:style w:type="paragraph" w:styleId="Textocomentario">
    <w:name w:val="annotation text"/>
    <w:basedOn w:val="Normal"/>
    <w:link w:val="TextocomentarioCar"/>
    <w:uiPriority w:val="99"/>
    <w:semiHidden/>
    <w:unhideWhenUsed/>
    <w:rsid w:val="00F00F9B"/>
    <w:rPr>
      <w:sz w:val="20"/>
      <w:szCs w:val="20"/>
    </w:rPr>
  </w:style>
  <w:style w:type="character" w:customStyle="1" w:styleId="TextocomentarioCar">
    <w:name w:val="Texto comentario Car"/>
    <w:basedOn w:val="Fuentedeprrafopredeter"/>
    <w:link w:val="Textocomentario"/>
    <w:uiPriority w:val="99"/>
    <w:semiHidden/>
    <w:rsid w:val="00F00F9B"/>
    <w:rPr>
      <w:rFonts w:eastAsia="Times New Roman" w:cs="Times New Roman"/>
      <w:lang w:val="es-CO" w:eastAsia="es-CO"/>
    </w:rPr>
  </w:style>
  <w:style w:type="paragraph" w:styleId="Asuntodelcomentario">
    <w:name w:val="annotation subject"/>
    <w:basedOn w:val="Textocomentario"/>
    <w:next w:val="Textocomentario"/>
    <w:link w:val="AsuntodelcomentarioCar"/>
    <w:uiPriority w:val="99"/>
    <w:semiHidden/>
    <w:unhideWhenUsed/>
    <w:rsid w:val="00F00F9B"/>
    <w:rPr>
      <w:b/>
      <w:bCs/>
    </w:rPr>
  </w:style>
  <w:style w:type="character" w:customStyle="1" w:styleId="AsuntodelcomentarioCar">
    <w:name w:val="Asunto del comentario Car"/>
    <w:basedOn w:val="TextocomentarioCar"/>
    <w:link w:val="Asuntodelcomentario"/>
    <w:uiPriority w:val="99"/>
    <w:semiHidden/>
    <w:rsid w:val="00F00F9B"/>
    <w:rPr>
      <w:rFonts w:eastAsia="Times New Roman" w:cs="Times New Roman"/>
      <w:b/>
      <w:bCs/>
      <w:lang w:val="es-CO" w:eastAsia="es-CO"/>
    </w:rPr>
  </w:style>
  <w:style w:type="paragraph" w:customStyle="1" w:styleId="4GChar">
    <w:name w:val="4_G Char"/>
    <w:aliases w:val="Appel note de bas de page Char,Appel note de bas de page Char Char Char Char Char Char Char Char Char Char Char Char Char Char Char Char Char Char Char,Appel note de bas de page Char Char Char Char"/>
    <w:basedOn w:val="Normal"/>
    <w:link w:val="Refdenotaalpie"/>
    <w:uiPriority w:val="99"/>
    <w:rsid w:val="00200812"/>
    <w:pPr>
      <w:jc w:val="both"/>
    </w:pPr>
    <w:rPr>
      <w:rFonts w:eastAsia="Droid Sans" w:cs="Lohit Hindi"/>
      <w:sz w:val="20"/>
      <w:szCs w:val="20"/>
      <w:vertAlign w:val="superscript"/>
      <w:lang w:val="es-ES" w:eastAsia="es-ES"/>
    </w:rPr>
  </w:style>
  <w:style w:type="paragraph" w:customStyle="1" w:styleId="paragraph">
    <w:name w:val="paragraph"/>
    <w:basedOn w:val="Normal"/>
    <w:rsid w:val="001B289F"/>
    <w:pPr>
      <w:spacing w:before="100" w:beforeAutospacing="1" w:after="100" w:afterAutospacing="1"/>
    </w:pPr>
  </w:style>
  <w:style w:type="character" w:styleId="Textoennegrita">
    <w:name w:val="Strong"/>
    <w:basedOn w:val="Fuentedeprrafopredeter"/>
    <w:uiPriority w:val="22"/>
    <w:qFormat/>
    <w:rsid w:val="003B12B2"/>
    <w:rPr>
      <w:b/>
      <w:bCs/>
    </w:rPr>
  </w:style>
  <w:style w:type="paragraph" w:customStyle="1" w:styleId="pdq2pgselectionanchorcontainer">
    <w:name w:val="pdq2pg_selectionanchorcontainer"/>
    <w:basedOn w:val="Normal"/>
    <w:rsid w:val="00DD7AA2"/>
    <w:pPr>
      <w:spacing w:before="100" w:beforeAutospacing="1" w:after="100" w:afterAutospacing="1"/>
    </w:pPr>
  </w:style>
  <w:style w:type="paragraph" w:customStyle="1" w:styleId="isselectedend">
    <w:name w:val="isselectedend"/>
    <w:basedOn w:val="Normal"/>
    <w:rsid w:val="00DB036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8400">
      <w:bodyDiv w:val="1"/>
      <w:marLeft w:val="0"/>
      <w:marRight w:val="0"/>
      <w:marTop w:val="0"/>
      <w:marBottom w:val="0"/>
      <w:divBdr>
        <w:top w:val="none" w:sz="0" w:space="0" w:color="auto"/>
        <w:left w:val="none" w:sz="0" w:space="0" w:color="auto"/>
        <w:bottom w:val="none" w:sz="0" w:space="0" w:color="auto"/>
        <w:right w:val="none" w:sz="0" w:space="0" w:color="auto"/>
      </w:divBdr>
    </w:div>
    <w:div w:id="288901720">
      <w:bodyDiv w:val="1"/>
      <w:marLeft w:val="0"/>
      <w:marRight w:val="0"/>
      <w:marTop w:val="0"/>
      <w:marBottom w:val="0"/>
      <w:divBdr>
        <w:top w:val="none" w:sz="0" w:space="0" w:color="auto"/>
        <w:left w:val="none" w:sz="0" w:space="0" w:color="auto"/>
        <w:bottom w:val="none" w:sz="0" w:space="0" w:color="auto"/>
        <w:right w:val="none" w:sz="0" w:space="0" w:color="auto"/>
      </w:divBdr>
    </w:div>
    <w:div w:id="347563649">
      <w:bodyDiv w:val="1"/>
      <w:marLeft w:val="0"/>
      <w:marRight w:val="0"/>
      <w:marTop w:val="0"/>
      <w:marBottom w:val="0"/>
      <w:divBdr>
        <w:top w:val="none" w:sz="0" w:space="0" w:color="auto"/>
        <w:left w:val="none" w:sz="0" w:space="0" w:color="auto"/>
        <w:bottom w:val="none" w:sz="0" w:space="0" w:color="auto"/>
        <w:right w:val="none" w:sz="0" w:space="0" w:color="auto"/>
      </w:divBdr>
    </w:div>
    <w:div w:id="373893228">
      <w:bodyDiv w:val="1"/>
      <w:marLeft w:val="0"/>
      <w:marRight w:val="0"/>
      <w:marTop w:val="0"/>
      <w:marBottom w:val="0"/>
      <w:divBdr>
        <w:top w:val="none" w:sz="0" w:space="0" w:color="auto"/>
        <w:left w:val="none" w:sz="0" w:space="0" w:color="auto"/>
        <w:bottom w:val="none" w:sz="0" w:space="0" w:color="auto"/>
        <w:right w:val="none" w:sz="0" w:space="0" w:color="auto"/>
      </w:divBdr>
    </w:div>
    <w:div w:id="399904875">
      <w:bodyDiv w:val="1"/>
      <w:marLeft w:val="0"/>
      <w:marRight w:val="0"/>
      <w:marTop w:val="0"/>
      <w:marBottom w:val="0"/>
      <w:divBdr>
        <w:top w:val="none" w:sz="0" w:space="0" w:color="auto"/>
        <w:left w:val="none" w:sz="0" w:space="0" w:color="auto"/>
        <w:bottom w:val="none" w:sz="0" w:space="0" w:color="auto"/>
        <w:right w:val="none" w:sz="0" w:space="0" w:color="auto"/>
      </w:divBdr>
      <w:divsChild>
        <w:div w:id="1930312340">
          <w:marLeft w:val="0"/>
          <w:marRight w:val="0"/>
          <w:marTop w:val="0"/>
          <w:marBottom w:val="0"/>
          <w:divBdr>
            <w:top w:val="none" w:sz="0" w:space="0" w:color="auto"/>
            <w:left w:val="none" w:sz="0" w:space="0" w:color="auto"/>
            <w:bottom w:val="none" w:sz="0" w:space="0" w:color="auto"/>
            <w:right w:val="none" w:sz="0" w:space="0" w:color="auto"/>
          </w:divBdr>
        </w:div>
        <w:div w:id="1329091527">
          <w:marLeft w:val="0"/>
          <w:marRight w:val="0"/>
          <w:marTop w:val="0"/>
          <w:marBottom w:val="0"/>
          <w:divBdr>
            <w:top w:val="none" w:sz="0" w:space="0" w:color="auto"/>
            <w:left w:val="none" w:sz="0" w:space="0" w:color="auto"/>
            <w:bottom w:val="none" w:sz="0" w:space="0" w:color="auto"/>
            <w:right w:val="none" w:sz="0" w:space="0" w:color="auto"/>
          </w:divBdr>
        </w:div>
      </w:divsChild>
    </w:div>
    <w:div w:id="472144512">
      <w:bodyDiv w:val="1"/>
      <w:marLeft w:val="0"/>
      <w:marRight w:val="0"/>
      <w:marTop w:val="0"/>
      <w:marBottom w:val="0"/>
      <w:divBdr>
        <w:top w:val="none" w:sz="0" w:space="0" w:color="auto"/>
        <w:left w:val="none" w:sz="0" w:space="0" w:color="auto"/>
        <w:bottom w:val="none" w:sz="0" w:space="0" w:color="auto"/>
        <w:right w:val="none" w:sz="0" w:space="0" w:color="auto"/>
      </w:divBdr>
    </w:div>
    <w:div w:id="474877447">
      <w:bodyDiv w:val="1"/>
      <w:marLeft w:val="0"/>
      <w:marRight w:val="0"/>
      <w:marTop w:val="0"/>
      <w:marBottom w:val="0"/>
      <w:divBdr>
        <w:top w:val="none" w:sz="0" w:space="0" w:color="auto"/>
        <w:left w:val="none" w:sz="0" w:space="0" w:color="auto"/>
        <w:bottom w:val="none" w:sz="0" w:space="0" w:color="auto"/>
        <w:right w:val="none" w:sz="0" w:space="0" w:color="auto"/>
      </w:divBdr>
      <w:divsChild>
        <w:div w:id="1456363832">
          <w:marLeft w:val="0"/>
          <w:marRight w:val="0"/>
          <w:marTop w:val="0"/>
          <w:marBottom w:val="0"/>
          <w:divBdr>
            <w:top w:val="none" w:sz="0" w:space="0" w:color="auto"/>
            <w:left w:val="none" w:sz="0" w:space="0" w:color="auto"/>
            <w:bottom w:val="none" w:sz="0" w:space="0" w:color="auto"/>
            <w:right w:val="none" w:sz="0" w:space="0" w:color="auto"/>
          </w:divBdr>
        </w:div>
        <w:div w:id="1851527229">
          <w:marLeft w:val="0"/>
          <w:marRight w:val="0"/>
          <w:marTop w:val="0"/>
          <w:marBottom w:val="0"/>
          <w:divBdr>
            <w:top w:val="none" w:sz="0" w:space="0" w:color="auto"/>
            <w:left w:val="none" w:sz="0" w:space="0" w:color="auto"/>
            <w:bottom w:val="none" w:sz="0" w:space="0" w:color="auto"/>
            <w:right w:val="none" w:sz="0" w:space="0" w:color="auto"/>
          </w:divBdr>
        </w:div>
        <w:div w:id="2082827239">
          <w:marLeft w:val="0"/>
          <w:marRight w:val="0"/>
          <w:marTop w:val="0"/>
          <w:marBottom w:val="0"/>
          <w:divBdr>
            <w:top w:val="none" w:sz="0" w:space="0" w:color="auto"/>
            <w:left w:val="none" w:sz="0" w:space="0" w:color="auto"/>
            <w:bottom w:val="none" w:sz="0" w:space="0" w:color="auto"/>
            <w:right w:val="none" w:sz="0" w:space="0" w:color="auto"/>
          </w:divBdr>
        </w:div>
      </w:divsChild>
    </w:div>
    <w:div w:id="580794877">
      <w:bodyDiv w:val="1"/>
      <w:marLeft w:val="0"/>
      <w:marRight w:val="0"/>
      <w:marTop w:val="0"/>
      <w:marBottom w:val="0"/>
      <w:divBdr>
        <w:top w:val="none" w:sz="0" w:space="0" w:color="auto"/>
        <w:left w:val="none" w:sz="0" w:space="0" w:color="auto"/>
        <w:bottom w:val="none" w:sz="0" w:space="0" w:color="auto"/>
        <w:right w:val="none" w:sz="0" w:space="0" w:color="auto"/>
      </w:divBdr>
    </w:div>
    <w:div w:id="625618965">
      <w:bodyDiv w:val="1"/>
      <w:marLeft w:val="0"/>
      <w:marRight w:val="0"/>
      <w:marTop w:val="0"/>
      <w:marBottom w:val="0"/>
      <w:divBdr>
        <w:top w:val="none" w:sz="0" w:space="0" w:color="auto"/>
        <w:left w:val="none" w:sz="0" w:space="0" w:color="auto"/>
        <w:bottom w:val="none" w:sz="0" w:space="0" w:color="auto"/>
        <w:right w:val="none" w:sz="0" w:space="0" w:color="auto"/>
      </w:divBdr>
    </w:div>
    <w:div w:id="713308510">
      <w:bodyDiv w:val="1"/>
      <w:marLeft w:val="0"/>
      <w:marRight w:val="0"/>
      <w:marTop w:val="0"/>
      <w:marBottom w:val="0"/>
      <w:divBdr>
        <w:top w:val="none" w:sz="0" w:space="0" w:color="auto"/>
        <w:left w:val="none" w:sz="0" w:space="0" w:color="auto"/>
        <w:bottom w:val="none" w:sz="0" w:space="0" w:color="auto"/>
        <w:right w:val="none" w:sz="0" w:space="0" w:color="auto"/>
      </w:divBdr>
      <w:divsChild>
        <w:div w:id="1712341074">
          <w:blockQuote w:val="1"/>
          <w:marLeft w:val="600"/>
          <w:marRight w:val="600"/>
          <w:marTop w:val="60"/>
          <w:marBottom w:val="0"/>
          <w:divBdr>
            <w:top w:val="none" w:sz="0" w:space="0" w:color="auto"/>
            <w:left w:val="none" w:sz="0" w:space="0" w:color="auto"/>
            <w:bottom w:val="none" w:sz="0" w:space="0" w:color="auto"/>
            <w:right w:val="none" w:sz="0" w:space="0" w:color="auto"/>
          </w:divBdr>
          <w:divsChild>
            <w:div w:id="153735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984347">
      <w:bodyDiv w:val="1"/>
      <w:marLeft w:val="0"/>
      <w:marRight w:val="0"/>
      <w:marTop w:val="0"/>
      <w:marBottom w:val="0"/>
      <w:divBdr>
        <w:top w:val="none" w:sz="0" w:space="0" w:color="auto"/>
        <w:left w:val="none" w:sz="0" w:space="0" w:color="auto"/>
        <w:bottom w:val="none" w:sz="0" w:space="0" w:color="auto"/>
        <w:right w:val="none" w:sz="0" w:space="0" w:color="auto"/>
      </w:divBdr>
    </w:div>
    <w:div w:id="1090203363">
      <w:bodyDiv w:val="1"/>
      <w:marLeft w:val="0"/>
      <w:marRight w:val="0"/>
      <w:marTop w:val="0"/>
      <w:marBottom w:val="0"/>
      <w:divBdr>
        <w:top w:val="none" w:sz="0" w:space="0" w:color="auto"/>
        <w:left w:val="none" w:sz="0" w:space="0" w:color="auto"/>
        <w:bottom w:val="none" w:sz="0" w:space="0" w:color="auto"/>
        <w:right w:val="none" w:sz="0" w:space="0" w:color="auto"/>
      </w:divBdr>
    </w:div>
    <w:div w:id="1201629583">
      <w:bodyDiv w:val="1"/>
      <w:marLeft w:val="0"/>
      <w:marRight w:val="0"/>
      <w:marTop w:val="0"/>
      <w:marBottom w:val="0"/>
      <w:divBdr>
        <w:top w:val="none" w:sz="0" w:space="0" w:color="auto"/>
        <w:left w:val="none" w:sz="0" w:space="0" w:color="auto"/>
        <w:bottom w:val="none" w:sz="0" w:space="0" w:color="auto"/>
        <w:right w:val="none" w:sz="0" w:space="0" w:color="auto"/>
      </w:divBdr>
    </w:div>
    <w:div w:id="1213233065">
      <w:bodyDiv w:val="1"/>
      <w:marLeft w:val="0"/>
      <w:marRight w:val="0"/>
      <w:marTop w:val="0"/>
      <w:marBottom w:val="0"/>
      <w:divBdr>
        <w:top w:val="none" w:sz="0" w:space="0" w:color="auto"/>
        <w:left w:val="none" w:sz="0" w:space="0" w:color="auto"/>
        <w:bottom w:val="none" w:sz="0" w:space="0" w:color="auto"/>
        <w:right w:val="none" w:sz="0" w:space="0" w:color="auto"/>
      </w:divBdr>
    </w:div>
    <w:div w:id="1266159149">
      <w:bodyDiv w:val="1"/>
      <w:marLeft w:val="0"/>
      <w:marRight w:val="0"/>
      <w:marTop w:val="0"/>
      <w:marBottom w:val="0"/>
      <w:divBdr>
        <w:top w:val="none" w:sz="0" w:space="0" w:color="auto"/>
        <w:left w:val="none" w:sz="0" w:space="0" w:color="auto"/>
        <w:bottom w:val="none" w:sz="0" w:space="0" w:color="auto"/>
        <w:right w:val="none" w:sz="0" w:space="0" w:color="auto"/>
      </w:divBdr>
    </w:div>
    <w:div w:id="1288661732">
      <w:bodyDiv w:val="1"/>
      <w:marLeft w:val="0"/>
      <w:marRight w:val="0"/>
      <w:marTop w:val="0"/>
      <w:marBottom w:val="0"/>
      <w:divBdr>
        <w:top w:val="none" w:sz="0" w:space="0" w:color="auto"/>
        <w:left w:val="none" w:sz="0" w:space="0" w:color="auto"/>
        <w:bottom w:val="none" w:sz="0" w:space="0" w:color="auto"/>
        <w:right w:val="none" w:sz="0" w:space="0" w:color="auto"/>
      </w:divBdr>
    </w:div>
    <w:div w:id="1423065427">
      <w:bodyDiv w:val="1"/>
      <w:marLeft w:val="0"/>
      <w:marRight w:val="0"/>
      <w:marTop w:val="0"/>
      <w:marBottom w:val="0"/>
      <w:divBdr>
        <w:top w:val="none" w:sz="0" w:space="0" w:color="auto"/>
        <w:left w:val="none" w:sz="0" w:space="0" w:color="auto"/>
        <w:bottom w:val="none" w:sz="0" w:space="0" w:color="auto"/>
        <w:right w:val="none" w:sz="0" w:space="0" w:color="auto"/>
      </w:divBdr>
    </w:div>
    <w:div w:id="1437015723">
      <w:bodyDiv w:val="1"/>
      <w:marLeft w:val="0"/>
      <w:marRight w:val="0"/>
      <w:marTop w:val="0"/>
      <w:marBottom w:val="0"/>
      <w:divBdr>
        <w:top w:val="none" w:sz="0" w:space="0" w:color="auto"/>
        <w:left w:val="none" w:sz="0" w:space="0" w:color="auto"/>
        <w:bottom w:val="none" w:sz="0" w:space="0" w:color="auto"/>
        <w:right w:val="none" w:sz="0" w:space="0" w:color="auto"/>
      </w:divBdr>
    </w:div>
    <w:div w:id="1563445271">
      <w:bodyDiv w:val="1"/>
      <w:marLeft w:val="0"/>
      <w:marRight w:val="0"/>
      <w:marTop w:val="0"/>
      <w:marBottom w:val="0"/>
      <w:divBdr>
        <w:top w:val="none" w:sz="0" w:space="0" w:color="auto"/>
        <w:left w:val="none" w:sz="0" w:space="0" w:color="auto"/>
        <w:bottom w:val="none" w:sz="0" w:space="0" w:color="auto"/>
        <w:right w:val="none" w:sz="0" w:space="0" w:color="auto"/>
      </w:divBdr>
    </w:div>
    <w:div w:id="1720129155">
      <w:bodyDiv w:val="1"/>
      <w:marLeft w:val="0"/>
      <w:marRight w:val="0"/>
      <w:marTop w:val="0"/>
      <w:marBottom w:val="0"/>
      <w:divBdr>
        <w:top w:val="none" w:sz="0" w:space="0" w:color="auto"/>
        <w:left w:val="none" w:sz="0" w:space="0" w:color="auto"/>
        <w:bottom w:val="none" w:sz="0" w:space="0" w:color="auto"/>
        <w:right w:val="none" w:sz="0" w:space="0" w:color="auto"/>
      </w:divBdr>
    </w:div>
    <w:div w:id="1913733233">
      <w:bodyDiv w:val="1"/>
      <w:marLeft w:val="0"/>
      <w:marRight w:val="0"/>
      <w:marTop w:val="0"/>
      <w:marBottom w:val="0"/>
      <w:divBdr>
        <w:top w:val="none" w:sz="0" w:space="0" w:color="auto"/>
        <w:left w:val="none" w:sz="0" w:space="0" w:color="auto"/>
        <w:bottom w:val="none" w:sz="0" w:space="0" w:color="auto"/>
        <w:right w:val="none" w:sz="0" w:space="0" w:color="auto"/>
      </w:divBdr>
    </w:div>
    <w:div w:id="2050303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d4c2b16-5517-4fea-839c-1c65c133a2a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F7B42490286AC47ACD689F5C0BB6C17" ma:contentTypeVersion="10" ma:contentTypeDescription="Crear nuevo documento." ma:contentTypeScope="" ma:versionID="069ecdead21883d9c70f6728cd749104">
  <xsd:schema xmlns:xsd="http://www.w3.org/2001/XMLSchema" xmlns:xs="http://www.w3.org/2001/XMLSchema" xmlns:p="http://schemas.microsoft.com/office/2006/metadata/properties" xmlns:ns3="fd4c2b16-5517-4fea-839c-1c65c133a2af" targetNamespace="http://schemas.microsoft.com/office/2006/metadata/properties" ma:root="true" ma:fieldsID="9f9aa03323e7b1e0550ceff2bb4e6123" ns3:_="">
    <xsd:import namespace="fd4c2b16-5517-4fea-839c-1c65c133a2a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4c2b16-5517-4fea-839c-1c65c133a2a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774EE3-C7EF-4DFC-B9AE-322D524660C8}">
  <ds:schemaRefs>
    <ds:schemaRef ds:uri="http://schemas.microsoft.com/sharepoint/v3/contenttype/forms"/>
  </ds:schemaRefs>
</ds:datastoreItem>
</file>

<file path=customXml/itemProps2.xml><?xml version="1.0" encoding="utf-8"?>
<ds:datastoreItem xmlns:ds="http://schemas.openxmlformats.org/officeDocument/2006/customXml" ds:itemID="{181DA77B-ADFB-4387-8D98-691F4DCD1AA1}">
  <ds:schemaRefs>
    <ds:schemaRef ds:uri="http://schemas.microsoft.com/office/2006/metadata/properties"/>
    <ds:schemaRef ds:uri="http://schemas.microsoft.com/office/infopath/2007/PartnerControls"/>
    <ds:schemaRef ds:uri="fd4c2b16-5517-4fea-839c-1c65c133a2af"/>
  </ds:schemaRefs>
</ds:datastoreItem>
</file>

<file path=customXml/itemProps3.xml><?xml version="1.0" encoding="utf-8"?>
<ds:datastoreItem xmlns:ds="http://schemas.openxmlformats.org/officeDocument/2006/customXml" ds:itemID="{3DB82490-8C83-41E4-B8D8-5C979CF85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4c2b16-5517-4fea-839c-1c65c133a2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49</Pages>
  <Words>13564</Words>
  <Characters>74606</Characters>
  <Application>Microsoft Office Word</Application>
  <DocSecurity>0</DocSecurity>
  <Lines>621</Lines>
  <Paragraphs>175</Paragraphs>
  <ScaleCrop>false</ScaleCrop>
  <HeadingPairs>
    <vt:vector size="2" baseType="variant">
      <vt:variant>
        <vt:lpstr>Título</vt:lpstr>
      </vt:variant>
      <vt:variant>
        <vt:i4>1</vt:i4>
      </vt:variant>
    </vt:vector>
  </HeadingPairs>
  <TitlesOfParts>
    <vt:vector size="1" baseType="lpstr">
      <vt:lpstr>RESOLUCIÓN</vt:lpstr>
    </vt:vector>
  </TitlesOfParts>
  <Company/>
  <LinksUpToDate>false</LinksUpToDate>
  <CharactersWithSpaces>87995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dc:title>
  <dc:creator>Liliana.Merchan</dc:creator>
  <cp:lastModifiedBy>Edith Johana Roa Gutierrez</cp:lastModifiedBy>
  <cp:revision>5</cp:revision>
  <cp:lastPrinted>2026-07-28T16:36:00Z</cp:lastPrinted>
  <dcterms:created xsi:type="dcterms:W3CDTF">2026-07-29T00:16:00Z</dcterms:created>
  <dcterms:modified xsi:type="dcterms:W3CDTF">2026-07-29T14:09:00Z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0x010100BF7B42490286AC47ACD689F5C0BB6C17</vt:lpwstr>
  </property>
</Properties>
</file>